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D2BD88">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b/>
          <w:bCs/>
          <w:sz w:val="32"/>
          <w:szCs w:val="32"/>
          <w:lang w:val="en-US" w:eastAsia="zh-CN"/>
        </w:rPr>
      </w:pPr>
      <w:bookmarkStart w:id="0" w:name="_Toc465860690"/>
      <w:bookmarkStart w:id="1" w:name="_Toc465860762"/>
      <w:bookmarkStart w:id="2" w:name="_Toc465783558"/>
      <w:bookmarkStart w:id="3" w:name="_Toc8631866"/>
      <w:r>
        <w:rPr>
          <w:rFonts w:hint="default" w:ascii="Times New Roman" w:hAnsi="Times New Roman" w:eastAsia="黑体" w:cs="Times New Roman"/>
          <w:b/>
          <w:bCs/>
          <w:sz w:val="32"/>
          <w:szCs w:val="32"/>
          <w:lang w:val="en-US" w:eastAsia="zh-CN"/>
        </w:rPr>
        <w:t>附件</w:t>
      </w:r>
      <w:r>
        <w:rPr>
          <w:rFonts w:hint="eastAsia" w:ascii="Times New Roman" w:hAnsi="Times New Roman" w:eastAsia="黑体" w:cs="Times New Roman"/>
          <w:b/>
          <w:bCs/>
          <w:sz w:val="32"/>
          <w:szCs w:val="32"/>
          <w:lang w:val="en-US" w:eastAsia="zh-CN"/>
        </w:rPr>
        <w:t>：</w:t>
      </w:r>
    </w:p>
    <w:p w14:paraId="16FA04E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b/>
          <w:bCs/>
          <w:sz w:val="32"/>
          <w:szCs w:val="32"/>
          <w:lang w:val="en-US" w:eastAsia="zh-CN"/>
        </w:rPr>
      </w:pPr>
      <w:r>
        <w:rPr>
          <w:rFonts w:hint="eastAsia" w:ascii="黑体" w:hAnsi="黑体" w:eastAsia="黑体" w:cs="黑体"/>
          <w:b/>
          <w:bCs/>
          <w:sz w:val="32"/>
          <w:szCs w:val="32"/>
          <w:lang w:val="en-US" w:eastAsia="zh-CN"/>
        </w:rPr>
        <w:t>报名登记表</w:t>
      </w:r>
    </w:p>
    <w:tbl>
      <w:tblPr>
        <w:tblStyle w:val="11"/>
        <w:tblW w:w="9544" w:type="dxa"/>
        <w:tblInd w:w="-48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38"/>
        <w:gridCol w:w="7406"/>
      </w:tblGrid>
      <w:tr w14:paraId="2B045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trPr>
        <w:tc>
          <w:tcPr>
            <w:tcW w:w="2138" w:type="dxa"/>
            <w:noWrap w:val="0"/>
            <w:vAlign w:val="center"/>
          </w:tcPr>
          <w:p w14:paraId="5CEEC55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b/>
                <w:bCs/>
                <w:sz w:val="32"/>
                <w:szCs w:val="32"/>
                <w:vertAlign w:val="baseline"/>
                <w:lang w:val="en-US" w:eastAsia="zh-CN"/>
              </w:rPr>
            </w:pPr>
            <w:r>
              <w:rPr>
                <w:rFonts w:hint="eastAsia" w:ascii="Times New Roman" w:hAnsi="Times New Roman" w:eastAsia="仿宋_GB2312" w:cs="Times New Roman"/>
                <w:b/>
                <w:bCs/>
                <w:sz w:val="32"/>
                <w:szCs w:val="32"/>
                <w:vertAlign w:val="baseline"/>
                <w:lang w:val="en-US" w:eastAsia="zh-CN"/>
              </w:rPr>
              <w:t>项目名称</w:t>
            </w:r>
          </w:p>
        </w:tc>
        <w:tc>
          <w:tcPr>
            <w:tcW w:w="7406" w:type="dxa"/>
            <w:noWrap w:val="0"/>
            <w:vAlign w:val="center"/>
          </w:tcPr>
          <w:p w14:paraId="2E2F69F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b/>
                <w:bCs/>
                <w:sz w:val="32"/>
                <w:szCs w:val="32"/>
                <w:vertAlign w:val="baseline"/>
                <w:lang w:val="en-US" w:eastAsia="zh-CN"/>
              </w:rPr>
            </w:pPr>
          </w:p>
        </w:tc>
      </w:tr>
      <w:tr w14:paraId="2E5D5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trPr>
        <w:tc>
          <w:tcPr>
            <w:tcW w:w="2138" w:type="dxa"/>
            <w:noWrap w:val="0"/>
            <w:vAlign w:val="center"/>
          </w:tcPr>
          <w:p w14:paraId="3C90F6E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b/>
                <w:bCs/>
                <w:sz w:val="32"/>
                <w:szCs w:val="32"/>
                <w:vertAlign w:val="baseline"/>
                <w:lang w:val="en-US" w:eastAsia="zh-CN"/>
              </w:rPr>
            </w:pPr>
            <w:r>
              <w:rPr>
                <w:rFonts w:hint="default" w:ascii="Times New Roman" w:hAnsi="Times New Roman" w:eastAsia="仿宋_GB2312" w:cs="Times New Roman"/>
                <w:b/>
                <w:bCs/>
                <w:sz w:val="32"/>
                <w:szCs w:val="32"/>
                <w:vertAlign w:val="baseline"/>
                <w:lang w:val="en-US" w:eastAsia="zh-CN"/>
              </w:rPr>
              <w:t>供</w:t>
            </w:r>
            <w:r>
              <w:rPr>
                <w:rFonts w:hint="eastAsia" w:ascii="Times New Roman" w:hAnsi="Times New Roman" w:eastAsia="仿宋_GB2312" w:cs="Times New Roman"/>
                <w:b/>
                <w:bCs/>
                <w:sz w:val="32"/>
                <w:szCs w:val="32"/>
                <w:vertAlign w:val="baseline"/>
                <w:lang w:val="en-US" w:eastAsia="zh-CN"/>
              </w:rPr>
              <w:t xml:space="preserve"> </w:t>
            </w:r>
            <w:r>
              <w:rPr>
                <w:rFonts w:hint="default" w:ascii="Times New Roman" w:hAnsi="Times New Roman" w:eastAsia="仿宋_GB2312" w:cs="Times New Roman"/>
                <w:b/>
                <w:bCs/>
                <w:sz w:val="32"/>
                <w:szCs w:val="32"/>
                <w:vertAlign w:val="baseline"/>
                <w:lang w:val="en-US" w:eastAsia="zh-CN"/>
              </w:rPr>
              <w:t>应</w:t>
            </w:r>
            <w:r>
              <w:rPr>
                <w:rFonts w:hint="eastAsia" w:ascii="Times New Roman" w:hAnsi="Times New Roman" w:eastAsia="仿宋_GB2312" w:cs="Times New Roman"/>
                <w:b/>
                <w:bCs/>
                <w:sz w:val="32"/>
                <w:szCs w:val="32"/>
                <w:vertAlign w:val="baseline"/>
                <w:lang w:val="en-US" w:eastAsia="zh-CN"/>
              </w:rPr>
              <w:t xml:space="preserve"> </w:t>
            </w:r>
            <w:r>
              <w:rPr>
                <w:rFonts w:hint="default" w:ascii="Times New Roman" w:hAnsi="Times New Roman" w:eastAsia="仿宋_GB2312" w:cs="Times New Roman"/>
                <w:b/>
                <w:bCs/>
                <w:sz w:val="32"/>
                <w:szCs w:val="32"/>
                <w:vertAlign w:val="baseline"/>
                <w:lang w:val="en-US" w:eastAsia="zh-CN"/>
              </w:rPr>
              <w:t>商</w:t>
            </w:r>
          </w:p>
        </w:tc>
        <w:tc>
          <w:tcPr>
            <w:tcW w:w="7406" w:type="dxa"/>
            <w:noWrap w:val="0"/>
            <w:vAlign w:val="center"/>
          </w:tcPr>
          <w:p w14:paraId="6DD583D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b w:val="0"/>
                <w:bCs w:val="0"/>
                <w:sz w:val="32"/>
                <w:szCs w:val="32"/>
                <w:u w:val="none"/>
                <w:vertAlign w:val="baseline"/>
                <w:lang w:val="en-US" w:eastAsia="zh-CN"/>
              </w:rPr>
            </w:pPr>
            <w:r>
              <w:rPr>
                <w:rFonts w:hint="eastAsia" w:ascii="Times New Roman" w:hAnsi="Times New Roman" w:eastAsia="仿宋_GB2312" w:cs="Times New Roman"/>
                <w:b w:val="0"/>
                <w:bCs w:val="0"/>
                <w:sz w:val="32"/>
                <w:szCs w:val="32"/>
                <w:u w:val="none"/>
                <w:vertAlign w:val="baseline"/>
                <w:lang w:val="en-US" w:eastAsia="zh-CN"/>
              </w:rPr>
              <w:t xml:space="preserve">                                 </w:t>
            </w:r>
            <w:r>
              <w:rPr>
                <w:rFonts w:hint="eastAsia" w:ascii="Times New Roman" w:hAnsi="Times New Roman" w:eastAsia="仿宋_GB2312" w:cs="Times New Roman"/>
                <w:b/>
                <w:bCs/>
                <w:sz w:val="32"/>
                <w:szCs w:val="32"/>
                <w:u w:val="none"/>
                <w:vertAlign w:val="baseline"/>
                <w:lang w:val="en-US" w:eastAsia="zh-CN"/>
              </w:rPr>
              <w:t>（公章）</w:t>
            </w:r>
          </w:p>
        </w:tc>
      </w:tr>
      <w:tr w14:paraId="561C6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trPr>
        <w:tc>
          <w:tcPr>
            <w:tcW w:w="2138" w:type="dxa"/>
            <w:noWrap w:val="0"/>
            <w:vAlign w:val="center"/>
          </w:tcPr>
          <w:p w14:paraId="3731A1F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b/>
                <w:bCs/>
                <w:sz w:val="32"/>
                <w:szCs w:val="32"/>
                <w:vertAlign w:val="baseline"/>
                <w:lang w:val="en-US" w:eastAsia="zh-CN"/>
              </w:rPr>
            </w:pPr>
            <w:r>
              <w:rPr>
                <w:rFonts w:hint="default" w:ascii="Times New Roman" w:hAnsi="Times New Roman" w:eastAsia="仿宋_GB2312" w:cs="Times New Roman"/>
                <w:b/>
                <w:bCs/>
                <w:sz w:val="32"/>
                <w:szCs w:val="32"/>
                <w:vertAlign w:val="baseline"/>
                <w:lang w:val="en-US" w:eastAsia="zh-CN"/>
              </w:rPr>
              <w:t>地</w:t>
            </w:r>
            <w:r>
              <w:rPr>
                <w:rFonts w:hint="eastAsia" w:ascii="Times New Roman" w:hAnsi="Times New Roman" w:eastAsia="仿宋_GB2312" w:cs="Times New Roman"/>
                <w:b/>
                <w:bCs/>
                <w:sz w:val="32"/>
                <w:szCs w:val="32"/>
                <w:vertAlign w:val="baseline"/>
                <w:lang w:val="en-US" w:eastAsia="zh-CN"/>
              </w:rPr>
              <w:t xml:space="preserve">    </w:t>
            </w:r>
            <w:r>
              <w:rPr>
                <w:rFonts w:hint="default" w:ascii="Times New Roman" w:hAnsi="Times New Roman" w:eastAsia="仿宋_GB2312" w:cs="Times New Roman"/>
                <w:b/>
                <w:bCs/>
                <w:sz w:val="32"/>
                <w:szCs w:val="32"/>
                <w:vertAlign w:val="baseline"/>
                <w:lang w:val="en-US" w:eastAsia="zh-CN"/>
              </w:rPr>
              <w:t>址</w:t>
            </w:r>
          </w:p>
        </w:tc>
        <w:tc>
          <w:tcPr>
            <w:tcW w:w="7406" w:type="dxa"/>
            <w:noWrap w:val="0"/>
            <w:vAlign w:val="center"/>
          </w:tcPr>
          <w:p w14:paraId="519C626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b/>
                <w:bCs/>
                <w:sz w:val="32"/>
                <w:szCs w:val="32"/>
                <w:vertAlign w:val="baseline"/>
                <w:lang w:val="en-US" w:eastAsia="zh-CN"/>
              </w:rPr>
            </w:pPr>
          </w:p>
        </w:tc>
      </w:tr>
      <w:tr w14:paraId="164B6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trPr>
        <w:tc>
          <w:tcPr>
            <w:tcW w:w="2138" w:type="dxa"/>
            <w:noWrap w:val="0"/>
            <w:vAlign w:val="center"/>
          </w:tcPr>
          <w:p w14:paraId="15DB066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b/>
                <w:bCs/>
                <w:sz w:val="32"/>
                <w:szCs w:val="32"/>
                <w:vertAlign w:val="baseline"/>
                <w:lang w:val="en-US" w:eastAsia="zh-CN"/>
              </w:rPr>
            </w:pPr>
            <w:r>
              <w:rPr>
                <w:rFonts w:hint="default" w:ascii="Times New Roman" w:hAnsi="Times New Roman" w:eastAsia="仿宋_GB2312" w:cs="Times New Roman"/>
                <w:b/>
                <w:bCs/>
                <w:sz w:val="32"/>
                <w:szCs w:val="32"/>
                <w:vertAlign w:val="baseline"/>
                <w:lang w:val="en-US" w:eastAsia="zh-CN"/>
              </w:rPr>
              <w:t>联</w:t>
            </w:r>
            <w:r>
              <w:rPr>
                <w:rFonts w:hint="eastAsia" w:ascii="Times New Roman" w:hAnsi="Times New Roman" w:eastAsia="仿宋_GB2312" w:cs="Times New Roman"/>
                <w:b/>
                <w:bCs/>
                <w:sz w:val="32"/>
                <w:szCs w:val="32"/>
                <w:vertAlign w:val="baseline"/>
                <w:lang w:val="en-US" w:eastAsia="zh-CN"/>
              </w:rPr>
              <w:t xml:space="preserve"> </w:t>
            </w:r>
            <w:r>
              <w:rPr>
                <w:rFonts w:hint="default" w:ascii="Times New Roman" w:hAnsi="Times New Roman" w:eastAsia="仿宋_GB2312" w:cs="Times New Roman"/>
                <w:b/>
                <w:bCs/>
                <w:sz w:val="32"/>
                <w:szCs w:val="32"/>
                <w:vertAlign w:val="baseline"/>
                <w:lang w:val="en-US" w:eastAsia="zh-CN"/>
              </w:rPr>
              <w:t>系</w:t>
            </w:r>
            <w:r>
              <w:rPr>
                <w:rFonts w:hint="eastAsia" w:ascii="Times New Roman" w:hAnsi="Times New Roman" w:eastAsia="仿宋_GB2312" w:cs="Times New Roman"/>
                <w:b/>
                <w:bCs/>
                <w:sz w:val="32"/>
                <w:szCs w:val="32"/>
                <w:vertAlign w:val="baseline"/>
                <w:lang w:val="en-US" w:eastAsia="zh-CN"/>
              </w:rPr>
              <w:t xml:space="preserve"> </w:t>
            </w:r>
            <w:r>
              <w:rPr>
                <w:rFonts w:hint="default" w:ascii="Times New Roman" w:hAnsi="Times New Roman" w:eastAsia="仿宋_GB2312" w:cs="Times New Roman"/>
                <w:b/>
                <w:bCs/>
                <w:sz w:val="32"/>
                <w:szCs w:val="32"/>
                <w:vertAlign w:val="baseline"/>
                <w:lang w:val="en-US" w:eastAsia="zh-CN"/>
              </w:rPr>
              <w:t>人</w:t>
            </w:r>
          </w:p>
        </w:tc>
        <w:tc>
          <w:tcPr>
            <w:tcW w:w="7406" w:type="dxa"/>
            <w:noWrap w:val="0"/>
            <w:vAlign w:val="center"/>
          </w:tcPr>
          <w:p w14:paraId="5B89597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b/>
                <w:bCs/>
                <w:sz w:val="32"/>
                <w:szCs w:val="32"/>
                <w:vertAlign w:val="baseline"/>
                <w:lang w:val="en-US" w:eastAsia="zh-CN"/>
              </w:rPr>
            </w:pPr>
          </w:p>
        </w:tc>
      </w:tr>
      <w:tr w14:paraId="28386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trPr>
        <w:tc>
          <w:tcPr>
            <w:tcW w:w="2138" w:type="dxa"/>
            <w:noWrap w:val="0"/>
            <w:vAlign w:val="center"/>
          </w:tcPr>
          <w:p w14:paraId="7F050EC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b/>
                <w:bCs/>
                <w:sz w:val="32"/>
                <w:szCs w:val="32"/>
                <w:vertAlign w:val="baseline"/>
                <w:lang w:val="en-US" w:eastAsia="zh-CN"/>
              </w:rPr>
            </w:pPr>
            <w:r>
              <w:rPr>
                <w:rFonts w:hint="eastAsia" w:ascii="Times New Roman" w:hAnsi="Times New Roman" w:eastAsia="仿宋_GB2312" w:cs="Times New Roman"/>
                <w:b/>
                <w:bCs/>
                <w:sz w:val="32"/>
                <w:szCs w:val="32"/>
                <w:vertAlign w:val="baseline"/>
                <w:lang w:val="en-US" w:eastAsia="zh-CN"/>
              </w:rPr>
              <w:t>联系电话</w:t>
            </w:r>
          </w:p>
        </w:tc>
        <w:tc>
          <w:tcPr>
            <w:tcW w:w="7406" w:type="dxa"/>
            <w:noWrap w:val="0"/>
            <w:vAlign w:val="center"/>
          </w:tcPr>
          <w:p w14:paraId="0708CAD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b/>
                <w:bCs/>
                <w:sz w:val="32"/>
                <w:szCs w:val="32"/>
                <w:vertAlign w:val="baseline"/>
                <w:lang w:val="en-US" w:eastAsia="zh-CN"/>
              </w:rPr>
            </w:pPr>
          </w:p>
        </w:tc>
      </w:tr>
      <w:tr w14:paraId="2FFB9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trPr>
        <w:tc>
          <w:tcPr>
            <w:tcW w:w="2138" w:type="dxa"/>
            <w:noWrap w:val="0"/>
            <w:vAlign w:val="center"/>
          </w:tcPr>
          <w:p w14:paraId="07819D5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b/>
                <w:bCs/>
                <w:sz w:val="32"/>
                <w:szCs w:val="32"/>
                <w:vertAlign w:val="baseline"/>
                <w:lang w:val="en-US" w:eastAsia="zh-CN"/>
              </w:rPr>
            </w:pPr>
            <w:r>
              <w:rPr>
                <w:rFonts w:hint="eastAsia" w:ascii="Times New Roman" w:hAnsi="Times New Roman" w:eastAsia="仿宋_GB2312" w:cs="Times New Roman"/>
                <w:b/>
                <w:bCs/>
                <w:sz w:val="32"/>
                <w:szCs w:val="32"/>
                <w:vertAlign w:val="baseline"/>
                <w:lang w:val="en-US" w:eastAsia="zh-CN"/>
              </w:rPr>
              <w:t>邮    箱</w:t>
            </w:r>
          </w:p>
        </w:tc>
        <w:tc>
          <w:tcPr>
            <w:tcW w:w="7406" w:type="dxa"/>
            <w:noWrap w:val="0"/>
            <w:vAlign w:val="center"/>
          </w:tcPr>
          <w:p w14:paraId="0437F23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b/>
                <w:bCs/>
                <w:sz w:val="32"/>
                <w:szCs w:val="32"/>
                <w:vertAlign w:val="baseline"/>
                <w:lang w:val="en-US" w:eastAsia="zh-CN"/>
              </w:rPr>
            </w:pPr>
          </w:p>
        </w:tc>
      </w:tr>
      <w:tr w14:paraId="7999B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trPr>
        <w:tc>
          <w:tcPr>
            <w:tcW w:w="2138" w:type="dxa"/>
            <w:noWrap w:val="0"/>
            <w:vAlign w:val="center"/>
          </w:tcPr>
          <w:p w14:paraId="1381140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b/>
                <w:bCs/>
                <w:sz w:val="32"/>
                <w:szCs w:val="32"/>
                <w:vertAlign w:val="baseline"/>
                <w:lang w:val="en-US" w:eastAsia="zh-CN"/>
              </w:rPr>
            </w:pPr>
            <w:r>
              <w:rPr>
                <w:rFonts w:hint="eastAsia" w:ascii="Times New Roman" w:hAnsi="Times New Roman" w:eastAsia="仿宋_GB2312" w:cs="Times New Roman"/>
                <w:b/>
                <w:bCs/>
                <w:sz w:val="32"/>
                <w:szCs w:val="32"/>
                <w:vertAlign w:val="baseline"/>
                <w:lang w:val="en-US" w:eastAsia="zh-CN"/>
              </w:rPr>
              <w:t>报名日期</w:t>
            </w:r>
          </w:p>
        </w:tc>
        <w:tc>
          <w:tcPr>
            <w:tcW w:w="7406" w:type="dxa"/>
            <w:noWrap w:val="0"/>
            <w:vAlign w:val="center"/>
          </w:tcPr>
          <w:p w14:paraId="26633D7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b/>
                <w:bCs/>
                <w:sz w:val="32"/>
                <w:szCs w:val="32"/>
                <w:vertAlign w:val="baseline"/>
                <w:lang w:val="en-US" w:eastAsia="zh-CN"/>
              </w:rPr>
            </w:pPr>
            <w:r>
              <w:rPr>
                <w:rFonts w:hint="eastAsia" w:ascii="Times New Roman" w:hAnsi="Times New Roman" w:eastAsia="仿宋_GB2312" w:cs="Times New Roman"/>
                <w:b/>
                <w:bCs/>
                <w:sz w:val="32"/>
                <w:szCs w:val="32"/>
                <w:vertAlign w:val="baseline"/>
                <w:lang w:val="en-US" w:eastAsia="zh-CN"/>
              </w:rPr>
              <w:t>2026年  月  日</w:t>
            </w:r>
          </w:p>
        </w:tc>
      </w:tr>
    </w:tbl>
    <w:p w14:paraId="53DD9323">
      <w:pPr>
        <w:rPr>
          <w:rFonts w:hint="eastAsia" w:ascii="黑体" w:hAnsi="黑体" w:eastAsia="黑体" w:cs="黑体"/>
          <w:b/>
          <w:sz w:val="32"/>
          <w:szCs w:val="32"/>
        </w:rPr>
        <w:sectPr>
          <w:footerReference r:id="rId3" w:type="default"/>
          <w:pgSz w:w="11906" w:h="16838"/>
          <w:pgMar w:top="1440" w:right="1800" w:bottom="1440" w:left="1800" w:header="851" w:footer="992" w:gutter="0"/>
          <w:pgNumType w:fmt="decimal"/>
          <w:cols w:space="720" w:num="1"/>
          <w:docGrid w:type="lines" w:linePitch="312" w:charSpace="0"/>
        </w:sectPr>
      </w:pPr>
    </w:p>
    <w:bookmarkEnd w:id="0"/>
    <w:bookmarkEnd w:id="1"/>
    <w:bookmarkEnd w:id="2"/>
    <w:bookmarkEnd w:id="3"/>
    <w:p w14:paraId="25FFBE88">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黑体" w:cs="Times New Roman"/>
          <w:b/>
          <w:bCs/>
          <w:color w:val="auto"/>
          <w:sz w:val="32"/>
          <w:szCs w:val="32"/>
          <w:lang w:val="en-US" w:eastAsia="zh-CN"/>
        </w:rPr>
      </w:pPr>
      <w:r>
        <w:rPr>
          <w:rFonts w:hint="default" w:ascii="Times New Roman" w:hAnsi="Times New Roman" w:eastAsia="黑体" w:cs="Times New Roman"/>
          <w:b/>
          <w:bCs/>
          <w:color w:val="auto"/>
          <w:sz w:val="32"/>
          <w:szCs w:val="32"/>
          <w:lang w:val="en-US" w:eastAsia="zh-CN"/>
        </w:rPr>
        <w:t>附件</w:t>
      </w:r>
      <w:r>
        <w:rPr>
          <w:rFonts w:hint="eastAsia" w:ascii="Times New Roman" w:hAnsi="Times New Roman" w:eastAsia="黑体" w:cs="Times New Roman"/>
          <w:b/>
          <w:bCs/>
          <w:color w:val="auto"/>
          <w:sz w:val="32"/>
          <w:szCs w:val="32"/>
          <w:lang w:val="en-US" w:eastAsia="zh-CN"/>
        </w:rPr>
        <w:t>1：技术及商务要求</w:t>
      </w:r>
    </w:p>
    <w:p w14:paraId="72FFF4B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黑体" w:hAnsi="黑体" w:eastAsia="黑体" w:cs="黑体"/>
          <w:b/>
          <w:bCs/>
          <w:color w:val="auto"/>
          <w:sz w:val="32"/>
          <w:szCs w:val="32"/>
          <w:lang w:val="en-US" w:eastAsia="zh-CN"/>
        </w:rPr>
      </w:pPr>
      <w:r>
        <w:rPr>
          <w:rFonts w:hint="eastAsia" w:ascii="黑体" w:hAnsi="黑体" w:eastAsia="黑体" w:cs="黑体"/>
          <w:b/>
          <w:bCs/>
          <w:color w:val="auto"/>
          <w:sz w:val="32"/>
          <w:szCs w:val="32"/>
          <w:lang w:val="en-US" w:eastAsia="zh-CN"/>
        </w:rPr>
        <w:t>一、详细技术要求清单</w:t>
      </w:r>
    </w:p>
    <w:tbl>
      <w:tblPr>
        <w:tblStyle w:val="11"/>
        <w:tblW w:w="9220"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6"/>
        <w:gridCol w:w="836"/>
        <w:gridCol w:w="1303"/>
        <w:gridCol w:w="5013"/>
        <w:gridCol w:w="709"/>
        <w:gridCol w:w="803"/>
      </w:tblGrid>
      <w:tr w14:paraId="4FA06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556" w:type="dxa"/>
            <w:noWrap w:val="0"/>
            <w:vAlign w:val="center"/>
          </w:tcPr>
          <w:p w14:paraId="5D3D9EA6">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序号</w:t>
            </w:r>
          </w:p>
        </w:tc>
        <w:tc>
          <w:tcPr>
            <w:tcW w:w="836" w:type="dxa"/>
            <w:noWrap w:val="0"/>
            <w:vAlign w:val="center"/>
          </w:tcPr>
          <w:p w14:paraId="4E1F2E43">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一级功能模块</w:t>
            </w:r>
          </w:p>
        </w:tc>
        <w:tc>
          <w:tcPr>
            <w:tcW w:w="1303" w:type="dxa"/>
            <w:noWrap w:val="0"/>
            <w:vAlign w:val="center"/>
          </w:tcPr>
          <w:p w14:paraId="082E8051">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二级模块/功能点</w:t>
            </w:r>
          </w:p>
        </w:tc>
        <w:tc>
          <w:tcPr>
            <w:tcW w:w="5013" w:type="dxa"/>
            <w:noWrap w:val="0"/>
            <w:vAlign w:val="center"/>
          </w:tcPr>
          <w:p w14:paraId="11F92D33">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功能描述</w:t>
            </w:r>
          </w:p>
        </w:tc>
        <w:tc>
          <w:tcPr>
            <w:tcW w:w="709" w:type="dxa"/>
            <w:noWrap w:val="0"/>
            <w:vAlign w:val="center"/>
          </w:tcPr>
          <w:p w14:paraId="24B26CC8">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数量</w:t>
            </w:r>
          </w:p>
        </w:tc>
        <w:tc>
          <w:tcPr>
            <w:tcW w:w="803" w:type="dxa"/>
            <w:noWrap w:val="0"/>
            <w:vAlign w:val="center"/>
          </w:tcPr>
          <w:p w14:paraId="0EE660E0">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单位</w:t>
            </w:r>
          </w:p>
        </w:tc>
      </w:tr>
      <w:tr w14:paraId="1DEA9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556" w:type="dxa"/>
            <w:noWrap w:val="0"/>
            <w:vAlign w:val="center"/>
          </w:tcPr>
          <w:p w14:paraId="51E20297">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1</w:t>
            </w:r>
          </w:p>
        </w:tc>
        <w:tc>
          <w:tcPr>
            <w:tcW w:w="836" w:type="dxa"/>
            <w:vMerge w:val="restart"/>
            <w:noWrap w:val="0"/>
            <w:vAlign w:val="center"/>
          </w:tcPr>
          <w:p w14:paraId="1AAF3324">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b w:val="0"/>
                <w:bCs w:val="0"/>
                <w:color w:val="auto"/>
                <w:sz w:val="24"/>
                <w:szCs w:val="24"/>
                <w:lang w:val="en-US" w:eastAsia="zh-CN"/>
              </w:rPr>
            </w:pPr>
            <w:r>
              <w:rPr>
                <w:rFonts w:hint="eastAsia" w:ascii="宋体" w:hAnsi="宋体" w:cs="宋体"/>
                <w:b w:val="0"/>
                <w:bCs w:val="0"/>
                <w:color w:val="auto"/>
                <w:sz w:val="24"/>
                <w:szCs w:val="24"/>
              </w:rPr>
              <w:t>基础平台</w:t>
            </w:r>
            <w:r>
              <w:rPr>
                <w:rFonts w:hint="eastAsia" w:ascii="宋体" w:hAnsi="宋体" w:cs="宋体"/>
                <w:b w:val="0"/>
                <w:bCs w:val="0"/>
                <w:color w:val="auto"/>
                <w:sz w:val="24"/>
                <w:szCs w:val="24"/>
                <w:lang w:val="en-US" w:eastAsia="zh-CN"/>
              </w:rPr>
              <w:t>模块</w:t>
            </w:r>
          </w:p>
        </w:tc>
        <w:tc>
          <w:tcPr>
            <w:tcW w:w="1303" w:type="dxa"/>
            <w:vMerge w:val="restart"/>
            <w:noWrap w:val="0"/>
            <w:vAlign w:val="center"/>
          </w:tcPr>
          <w:p w14:paraId="08E4D16C">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安全访问管理</w:t>
            </w:r>
          </w:p>
        </w:tc>
        <w:tc>
          <w:tcPr>
            <w:tcW w:w="5013" w:type="dxa"/>
            <w:noWrap w:val="0"/>
            <w:vAlign w:val="center"/>
          </w:tcPr>
          <w:p w14:paraId="76DA0010">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支持PC端与移动端访问，采用手机号+短信验证码登录方式。</w:t>
            </w:r>
          </w:p>
        </w:tc>
        <w:tc>
          <w:tcPr>
            <w:tcW w:w="709" w:type="dxa"/>
            <w:vMerge w:val="restart"/>
            <w:noWrap/>
            <w:vAlign w:val="center"/>
          </w:tcPr>
          <w:p w14:paraId="76BDDB09">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1</w:t>
            </w:r>
          </w:p>
        </w:tc>
        <w:tc>
          <w:tcPr>
            <w:tcW w:w="803" w:type="dxa"/>
            <w:vMerge w:val="restart"/>
            <w:noWrap/>
            <w:vAlign w:val="center"/>
          </w:tcPr>
          <w:p w14:paraId="109C37F1">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项</w:t>
            </w:r>
          </w:p>
        </w:tc>
      </w:tr>
      <w:tr w14:paraId="6B1B0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556" w:type="dxa"/>
            <w:noWrap w:val="0"/>
            <w:vAlign w:val="center"/>
          </w:tcPr>
          <w:p w14:paraId="380A03EA">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2</w:t>
            </w:r>
          </w:p>
        </w:tc>
        <w:tc>
          <w:tcPr>
            <w:tcW w:w="836" w:type="dxa"/>
            <w:vMerge w:val="continue"/>
            <w:noWrap w:val="0"/>
            <w:vAlign w:val="center"/>
          </w:tcPr>
          <w:p w14:paraId="2E917CB4">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1303" w:type="dxa"/>
            <w:vMerge w:val="continue"/>
            <w:noWrap w:val="0"/>
            <w:vAlign w:val="center"/>
          </w:tcPr>
          <w:p w14:paraId="4288044F">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5013" w:type="dxa"/>
            <w:noWrap w:val="0"/>
            <w:vAlign w:val="center"/>
          </w:tcPr>
          <w:p w14:paraId="63886117">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对密码安全性提出明确要求；系统具备防XSS、SQL注入等攻击的安全防护能力；数据库支持定期备份与容灾。</w:t>
            </w:r>
          </w:p>
        </w:tc>
        <w:tc>
          <w:tcPr>
            <w:tcW w:w="709" w:type="dxa"/>
            <w:vMerge w:val="continue"/>
            <w:noWrap w:val="0"/>
            <w:vAlign w:val="center"/>
          </w:tcPr>
          <w:p w14:paraId="70AE5979">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803" w:type="dxa"/>
            <w:vMerge w:val="continue"/>
            <w:noWrap w:val="0"/>
            <w:vAlign w:val="center"/>
          </w:tcPr>
          <w:p w14:paraId="2ED80850">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r>
      <w:tr w14:paraId="67BE6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trPr>
        <w:tc>
          <w:tcPr>
            <w:tcW w:w="556" w:type="dxa"/>
            <w:noWrap w:val="0"/>
            <w:vAlign w:val="center"/>
          </w:tcPr>
          <w:p w14:paraId="7016F755">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3</w:t>
            </w:r>
          </w:p>
        </w:tc>
        <w:tc>
          <w:tcPr>
            <w:tcW w:w="836" w:type="dxa"/>
            <w:vMerge w:val="continue"/>
            <w:noWrap w:val="0"/>
            <w:vAlign w:val="center"/>
          </w:tcPr>
          <w:p w14:paraId="51129A5B">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1303" w:type="dxa"/>
            <w:noWrap w:val="0"/>
            <w:vAlign w:val="center"/>
          </w:tcPr>
          <w:p w14:paraId="59850A6E">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▲门户管理</w:t>
            </w:r>
          </w:p>
        </w:tc>
        <w:tc>
          <w:tcPr>
            <w:tcW w:w="5013" w:type="dxa"/>
            <w:noWrap w:val="0"/>
            <w:vAlign w:val="center"/>
          </w:tcPr>
          <w:p w14:paraId="7DCC0461">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在权限管控体系下实现多元化信息与应用的展示及发布。需先搭建全员通用门户，涵盖消息、待办、公司制度、新闻动态及信息报送等内容，后续再完成公司门户、管理者门户的搭建。</w:t>
            </w:r>
          </w:p>
        </w:tc>
        <w:tc>
          <w:tcPr>
            <w:tcW w:w="709" w:type="dxa"/>
            <w:vMerge w:val="continue"/>
            <w:noWrap w:val="0"/>
            <w:vAlign w:val="center"/>
          </w:tcPr>
          <w:p w14:paraId="56FE31C4">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803" w:type="dxa"/>
            <w:vMerge w:val="continue"/>
            <w:noWrap w:val="0"/>
            <w:vAlign w:val="center"/>
          </w:tcPr>
          <w:p w14:paraId="6C184CD3">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r>
      <w:tr w14:paraId="4DAC4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trPr>
        <w:tc>
          <w:tcPr>
            <w:tcW w:w="556" w:type="dxa"/>
            <w:noWrap w:val="0"/>
            <w:vAlign w:val="center"/>
          </w:tcPr>
          <w:p w14:paraId="10B929A4">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4</w:t>
            </w:r>
          </w:p>
        </w:tc>
        <w:tc>
          <w:tcPr>
            <w:tcW w:w="836" w:type="dxa"/>
            <w:vMerge w:val="continue"/>
            <w:noWrap w:val="0"/>
            <w:vAlign w:val="center"/>
          </w:tcPr>
          <w:p w14:paraId="51DDFA71">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1303" w:type="dxa"/>
            <w:noWrap w:val="0"/>
            <w:vAlign w:val="center"/>
          </w:tcPr>
          <w:p w14:paraId="605DCA3F">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用户管理(组织架构、员工管理)</w:t>
            </w:r>
          </w:p>
        </w:tc>
        <w:tc>
          <w:tcPr>
            <w:tcW w:w="5013" w:type="dxa"/>
            <w:noWrap w:val="0"/>
            <w:vAlign w:val="center"/>
          </w:tcPr>
          <w:p w14:paraId="139792F6">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统一用户管理系统是协同办公系统建设的独立组成部分，实现安保多层次组织架构与全员管理。功能包括：组织管理、用户管理、身份管理、业务数据权限统一管理、用户行为管理等。</w:t>
            </w:r>
          </w:p>
        </w:tc>
        <w:tc>
          <w:tcPr>
            <w:tcW w:w="709" w:type="dxa"/>
            <w:vMerge w:val="continue"/>
            <w:noWrap w:val="0"/>
            <w:vAlign w:val="center"/>
          </w:tcPr>
          <w:p w14:paraId="03148417">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803" w:type="dxa"/>
            <w:vMerge w:val="continue"/>
            <w:noWrap w:val="0"/>
            <w:vAlign w:val="center"/>
          </w:tcPr>
          <w:p w14:paraId="3527D806">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r>
      <w:tr w14:paraId="19EE3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0" w:hRule="atLeast"/>
        </w:trPr>
        <w:tc>
          <w:tcPr>
            <w:tcW w:w="556" w:type="dxa"/>
            <w:noWrap w:val="0"/>
            <w:vAlign w:val="center"/>
          </w:tcPr>
          <w:p w14:paraId="5A045E6D">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5</w:t>
            </w:r>
          </w:p>
        </w:tc>
        <w:tc>
          <w:tcPr>
            <w:tcW w:w="836" w:type="dxa"/>
            <w:vMerge w:val="continue"/>
            <w:noWrap w:val="0"/>
            <w:vAlign w:val="center"/>
          </w:tcPr>
          <w:p w14:paraId="12B4BC7D">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1303" w:type="dxa"/>
            <w:noWrap w:val="0"/>
            <w:vAlign w:val="center"/>
          </w:tcPr>
          <w:p w14:paraId="6A10F582">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流程管理</w:t>
            </w:r>
          </w:p>
        </w:tc>
        <w:tc>
          <w:tcPr>
            <w:tcW w:w="5013" w:type="dxa"/>
            <w:noWrap w:val="0"/>
            <w:vAlign w:val="center"/>
          </w:tcPr>
          <w:p w14:paraId="223BE30B">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建立并规范企业流程管理体系，形成涵盖流程执行、分析与优化改进的持续提升机制；支持系统管理员或经授权人员根据业务需求随时新增或调整工作流程；可配置直通、分流、条件流转等模式，支持串签、并签等多种流向；可设置流程节点允许停留时长，超期后系统自动提醒当前节点责任人；支持按条件实现流程分支跳转。</w:t>
            </w:r>
          </w:p>
        </w:tc>
        <w:tc>
          <w:tcPr>
            <w:tcW w:w="709" w:type="dxa"/>
            <w:vMerge w:val="continue"/>
            <w:noWrap w:val="0"/>
            <w:vAlign w:val="center"/>
          </w:tcPr>
          <w:p w14:paraId="1EB0400B">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803" w:type="dxa"/>
            <w:vMerge w:val="continue"/>
            <w:noWrap w:val="0"/>
            <w:vAlign w:val="center"/>
          </w:tcPr>
          <w:p w14:paraId="219E8BBB">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r>
      <w:tr w14:paraId="1D311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trPr>
        <w:tc>
          <w:tcPr>
            <w:tcW w:w="556" w:type="dxa"/>
            <w:noWrap w:val="0"/>
            <w:vAlign w:val="center"/>
          </w:tcPr>
          <w:p w14:paraId="4039D278">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6</w:t>
            </w:r>
          </w:p>
        </w:tc>
        <w:tc>
          <w:tcPr>
            <w:tcW w:w="836" w:type="dxa"/>
            <w:vMerge w:val="continue"/>
            <w:noWrap w:val="0"/>
            <w:vAlign w:val="center"/>
          </w:tcPr>
          <w:p w14:paraId="6BFD6228">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1303" w:type="dxa"/>
            <w:noWrap w:val="0"/>
            <w:vAlign w:val="center"/>
          </w:tcPr>
          <w:p w14:paraId="50FCACDB">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 xml:space="preserve"> 表单管理</w:t>
            </w:r>
          </w:p>
        </w:tc>
        <w:tc>
          <w:tcPr>
            <w:tcW w:w="5013" w:type="dxa"/>
            <w:noWrap w:val="0"/>
            <w:vAlign w:val="center"/>
          </w:tcPr>
          <w:p w14:paraId="748AE200">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提供基于Web的在线排版与表单定义功能，既支持零编码的可视化交互设计，也满足技术人员在Web端进行功能扩展；支持关联业务数据源，实现表单数据处理的全流程自动化；内置丰富的表单控件，通过简单拖拽即可完成表单定义。</w:t>
            </w:r>
          </w:p>
        </w:tc>
        <w:tc>
          <w:tcPr>
            <w:tcW w:w="709" w:type="dxa"/>
            <w:vMerge w:val="continue"/>
            <w:noWrap w:val="0"/>
            <w:vAlign w:val="center"/>
          </w:tcPr>
          <w:p w14:paraId="5B5664B2">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803" w:type="dxa"/>
            <w:vMerge w:val="continue"/>
            <w:noWrap w:val="0"/>
            <w:vAlign w:val="center"/>
          </w:tcPr>
          <w:p w14:paraId="429BA24F">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r>
      <w:tr w14:paraId="3D6A6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0" w:hRule="atLeast"/>
        </w:trPr>
        <w:tc>
          <w:tcPr>
            <w:tcW w:w="556" w:type="dxa"/>
            <w:noWrap w:val="0"/>
            <w:vAlign w:val="center"/>
          </w:tcPr>
          <w:p w14:paraId="366389AD">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7</w:t>
            </w:r>
          </w:p>
        </w:tc>
        <w:tc>
          <w:tcPr>
            <w:tcW w:w="836" w:type="dxa"/>
            <w:vMerge w:val="continue"/>
            <w:noWrap w:val="0"/>
            <w:vAlign w:val="center"/>
          </w:tcPr>
          <w:p w14:paraId="60949914">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1303" w:type="dxa"/>
            <w:noWrap w:val="0"/>
            <w:vAlign w:val="center"/>
          </w:tcPr>
          <w:p w14:paraId="7E2B60E3">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▲移动办公功能</w:t>
            </w:r>
          </w:p>
        </w:tc>
        <w:tc>
          <w:tcPr>
            <w:tcW w:w="5013" w:type="dxa"/>
            <w:noWrap w:val="0"/>
            <w:vAlign w:val="center"/>
          </w:tcPr>
          <w:p w14:paraId="0C842510">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为企业提供灵活、实时互联的工作处理模式，打破时间与空间限制，实现工作任务的实时处理。支持依据人员岗位将新闻、公告、待办、文件、留言、任务、会议等信息进行个性化推送；支持在移动终端发起流程申请并完成审批，提供手写批注、手写签名审批方式，并可对流程相关信息进行关联透视。</w:t>
            </w:r>
          </w:p>
        </w:tc>
        <w:tc>
          <w:tcPr>
            <w:tcW w:w="709" w:type="dxa"/>
            <w:vMerge w:val="continue"/>
            <w:noWrap w:val="0"/>
            <w:vAlign w:val="center"/>
          </w:tcPr>
          <w:p w14:paraId="1FD1EC53">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803" w:type="dxa"/>
            <w:vMerge w:val="continue"/>
            <w:noWrap w:val="0"/>
            <w:vAlign w:val="center"/>
          </w:tcPr>
          <w:p w14:paraId="2AE20B2E">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r>
      <w:tr w14:paraId="7FBBA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556" w:type="dxa"/>
            <w:noWrap w:val="0"/>
            <w:vAlign w:val="center"/>
          </w:tcPr>
          <w:p w14:paraId="2AE2CF08">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9</w:t>
            </w:r>
          </w:p>
        </w:tc>
        <w:tc>
          <w:tcPr>
            <w:tcW w:w="836" w:type="dxa"/>
            <w:vMerge w:val="restart"/>
            <w:noWrap w:val="0"/>
            <w:vAlign w:val="center"/>
          </w:tcPr>
          <w:p w14:paraId="4E71E76E">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★线索管理</w:t>
            </w:r>
            <w:r>
              <w:rPr>
                <w:rFonts w:hint="eastAsia" w:ascii="宋体" w:hAnsi="宋体" w:eastAsia="宋体" w:cs="宋体"/>
                <w:b w:val="0"/>
                <w:bCs w:val="0"/>
                <w:i w:val="0"/>
                <w:iCs w:val="0"/>
                <w:color w:val="auto"/>
                <w:kern w:val="0"/>
                <w:sz w:val="24"/>
                <w:szCs w:val="24"/>
                <w:u w:val="none"/>
                <w:lang w:val="en-US" w:eastAsia="zh-CN" w:bidi="ar"/>
              </w:rPr>
              <w:t>定制</w:t>
            </w:r>
          </w:p>
        </w:tc>
        <w:tc>
          <w:tcPr>
            <w:tcW w:w="1303" w:type="dxa"/>
            <w:noWrap w:val="0"/>
            <w:vAlign w:val="center"/>
          </w:tcPr>
          <w:p w14:paraId="0E78E680">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线索池</w:t>
            </w:r>
          </w:p>
        </w:tc>
        <w:tc>
          <w:tcPr>
            <w:tcW w:w="5013" w:type="dxa"/>
            <w:noWrap w:val="0"/>
            <w:vAlign w:val="center"/>
          </w:tcPr>
          <w:p w14:paraId="11C99E0A">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集中展示各来源的线索信息，授权人员均可查看线索详情；支持线索的新建、查重、分配、认领、合并及转商机等操作。</w:t>
            </w:r>
          </w:p>
        </w:tc>
        <w:tc>
          <w:tcPr>
            <w:tcW w:w="709" w:type="dxa"/>
            <w:vMerge w:val="restart"/>
            <w:noWrap/>
            <w:vAlign w:val="center"/>
          </w:tcPr>
          <w:p w14:paraId="3E31CC49">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1</w:t>
            </w:r>
          </w:p>
        </w:tc>
        <w:tc>
          <w:tcPr>
            <w:tcW w:w="803" w:type="dxa"/>
            <w:vMerge w:val="restart"/>
            <w:noWrap/>
            <w:vAlign w:val="center"/>
          </w:tcPr>
          <w:p w14:paraId="7FF00468">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项</w:t>
            </w:r>
          </w:p>
        </w:tc>
      </w:tr>
      <w:tr w14:paraId="7539B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trPr>
        <w:tc>
          <w:tcPr>
            <w:tcW w:w="556" w:type="dxa"/>
            <w:noWrap w:val="0"/>
            <w:vAlign w:val="center"/>
          </w:tcPr>
          <w:p w14:paraId="0DE501F4">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10</w:t>
            </w:r>
          </w:p>
        </w:tc>
        <w:tc>
          <w:tcPr>
            <w:tcW w:w="836" w:type="dxa"/>
            <w:vMerge w:val="continue"/>
            <w:noWrap w:val="0"/>
            <w:vAlign w:val="center"/>
          </w:tcPr>
          <w:p w14:paraId="6025E0E2">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1303" w:type="dxa"/>
            <w:vMerge w:val="restart"/>
            <w:noWrap w:val="0"/>
            <w:vAlign w:val="center"/>
          </w:tcPr>
          <w:p w14:paraId="5F686361">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线索建立</w:t>
            </w:r>
          </w:p>
        </w:tc>
        <w:tc>
          <w:tcPr>
            <w:tcW w:w="5013" w:type="dxa"/>
            <w:noWrap w:val="0"/>
            <w:vAlign w:val="center"/>
          </w:tcPr>
          <w:p w14:paraId="2C0DE531">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线索为手动创建，避免数据混乱；录入时按客户名称与线索名称组合查重，重复即提示“线索重复”；支持批量导入。</w:t>
            </w:r>
          </w:p>
        </w:tc>
        <w:tc>
          <w:tcPr>
            <w:tcW w:w="709" w:type="dxa"/>
            <w:vMerge w:val="continue"/>
            <w:noWrap w:val="0"/>
            <w:vAlign w:val="center"/>
          </w:tcPr>
          <w:p w14:paraId="585AD2B7">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803" w:type="dxa"/>
            <w:vMerge w:val="continue"/>
            <w:noWrap w:val="0"/>
            <w:vAlign w:val="center"/>
          </w:tcPr>
          <w:p w14:paraId="1026F9F4">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r>
      <w:tr w14:paraId="2E819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trPr>
        <w:tc>
          <w:tcPr>
            <w:tcW w:w="556" w:type="dxa"/>
            <w:noWrap w:val="0"/>
            <w:vAlign w:val="center"/>
          </w:tcPr>
          <w:p w14:paraId="6D684B11">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11</w:t>
            </w:r>
          </w:p>
        </w:tc>
        <w:tc>
          <w:tcPr>
            <w:tcW w:w="836" w:type="dxa"/>
            <w:vMerge w:val="continue"/>
            <w:noWrap w:val="0"/>
            <w:vAlign w:val="center"/>
          </w:tcPr>
          <w:p w14:paraId="446EAF22">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1303" w:type="dxa"/>
            <w:vMerge w:val="continue"/>
            <w:noWrap w:val="0"/>
            <w:vAlign w:val="center"/>
          </w:tcPr>
          <w:p w14:paraId="74433239">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5013" w:type="dxa"/>
            <w:noWrap w:val="0"/>
            <w:vAlign w:val="center"/>
          </w:tcPr>
          <w:p w14:paraId="6D4C4824">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线索编号由系统自动生成；支持维护线索来源（涵盖展会、转介绍等类型）与线索类型标签（涵盖保安服务、信息化服务等类型）；系统包含无效、未跟进、跟进中、已转商机、已废弃五种线索状态。</w:t>
            </w:r>
          </w:p>
        </w:tc>
        <w:tc>
          <w:tcPr>
            <w:tcW w:w="709" w:type="dxa"/>
            <w:vMerge w:val="continue"/>
            <w:noWrap w:val="0"/>
            <w:vAlign w:val="center"/>
          </w:tcPr>
          <w:p w14:paraId="1E64B31C">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803" w:type="dxa"/>
            <w:vMerge w:val="continue"/>
            <w:noWrap w:val="0"/>
            <w:vAlign w:val="center"/>
          </w:tcPr>
          <w:p w14:paraId="1A614D5E">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r>
      <w:tr w14:paraId="797C8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556" w:type="dxa"/>
            <w:noWrap w:val="0"/>
            <w:vAlign w:val="center"/>
          </w:tcPr>
          <w:p w14:paraId="0474714A">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12</w:t>
            </w:r>
          </w:p>
        </w:tc>
        <w:tc>
          <w:tcPr>
            <w:tcW w:w="836" w:type="dxa"/>
            <w:vMerge w:val="continue"/>
            <w:noWrap w:val="0"/>
            <w:vAlign w:val="center"/>
          </w:tcPr>
          <w:p w14:paraId="7FE5C63D">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1303" w:type="dxa"/>
            <w:noWrap w:val="0"/>
            <w:vAlign w:val="center"/>
          </w:tcPr>
          <w:p w14:paraId="5CBBE622">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线索合并</w:t>
            </w:r>
          </w:p>
        </w:tc>
        <w:tc>
          <w:tcPr>
            <w:tcW w:w="5013" w:type="dxa"/>
            <w:noWrap w:val="0"/>
            <w:vAlign w:val="center"/>
          </w:tcPr>
          <w:p w14:paraId="06C9AE3F">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选择多条线索发起合并，需选定其中一条为主线索，其余线索状态将变更为“已废弃”。</w:t>
            </w:r>
          </w:p>
        </w:tc>
        <w:tc>
          <w:tcPr>
            <w:tcW w:w="709" w:type="dxa"/>
            <w:vMerge w:val="continue"/>
            <w:noWrap w:val="0"/>
            <w:vAlign w:val="center"/>
          </w:tcPr>
          <w:p w14:paraId="74940AAD">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803" w:type="dxa"/>
            <w:vMerge w:val="continue"/>
            <w:noWrap w:val="0"/>
            <w:vAlign w:val="center"/>
          </w:tcPr>
          <w:p w14:paraId="043E1E1C">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r>
      <w:tr w14:paraId="54CAC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556" w:type="dxa"/>
            <w:noWrap w:val="0"/>
            <w:vAlign w:val="center"/>
          </w:tcPr>
          <w:p w14:paraId="30A86AC1">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13</w:t>
            </w:r>
          </w:p>
        </w:tc>
        <w:tc>
          <w:tcPr>
            <w:tcW w:w="836" w:type="dxa"/>
            <w:vMerge w:val="continue"/>
            <w:noWrap w:val="0"/>
            <w:vAlign w:val="center"/>
          </w:tcPr>
          <w:p w14:paraId="76522EAC">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1303" w:type="dxa"/>
            <w:noWrap w:val="0"/>
            <w:vAlign w:val="center"/>
          </w:tcPr>
          <w:p w14:paraId="55305B1E">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线索分配与认领</w:t>
            </w:r>
          </w:p>
        </w:tc>
        <w:tc>
          <w:tcPr>
            <w:tcW w:w="5013" w:type="dxa"/>
            <w:noWrap w:val="0"/>
            <w:vAlign w:val="center"/>
          </w:tcPr>
          <w:p w14:paraId="6BF6CD82">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支持在录入环节选择分配部门与负责人，也支持批量分配；流程为分配部门→部门负责人可见→由部门负责人分配至具体负责人；部门负责人可对线索发起认领。</w:t>
            </w:r>
          </w:p>
        </w:tc>
        <w:tc>
          <w:tcPr>
            <w:tcW w:w="709" w:type="dxa"/>
            <w:vMerge w:val="continue"/>
            <w:noWrap w:val="0"/>
            <w:vAlign w:val="center"/>
          </w:tcPr>
          <w:p w14:paraId="15706644">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803" w:type="dxa"/>
            <w:vMerge w:val="continue"/>
            <w:noWrap w:val="0"/>
            <w:vAlign w:val="center"/>
          </w:tcPr>
          <w:p w14:paraId="778DCB1F">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r>
      <w:tr w14:paraId="11C7B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556" w:type="dxa"/>
            <w:noWrap w:val="0"/>
            <w:vAlign w:val="center"/>
          </w:tcPr>
          <w:p w14:paraId="6366D4B2">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14</w:t>
            </w:r>
          </w:p>
        </w:tc>
        <w:tc>
          <w:tcPr>
            <w:tcW w:w="836" w:type="dxa"/>
            <w:vMerge w:val="continue"/>
            <w:noWrap w:val="0"/>
            <w:vAlign w:val="center"/>
          </w:tcPr>
          <w:p w14:paraId="44FA5BD7">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1303" w:type="dxa"/>
            <w:noWrap w:val="0"/>
            <w:vAlign w:val="center"/>
          </w:tcPr>
          <w:p w14:paraId="0607889A">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我的线索</w:t>
            </w:r>
          </w:p>
        </w:tc>
        <w:tc>
          <w:tcPr>
            <w:tcW w:w="5013" w:type="dxa"/>
            <w:noWrap w:val="0"/>
            <w:vAlign w:val="center"/>
          </w:tcPr>
          <w:p w14:paraId="59964453">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展示分配至当前用户本人或其所在部门的线索；支持填写跟进记录、转商机与合并线索等操作。</w:t>
            </w:r>
          </w:p>
        </w:tc>
        <w:tc>
          <w:tcPr>
            <w:tcW w:w="709" w:type="dxa"/>
            <w:vMerge w:val="continue"/>
            <w:noWrap w:val="0"/>
            <w:vAlign w:val="center"/>
          </w:tcPr>
          <w:p w14:paraId="48ED6F1F">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803" w:type="dxa"/>
            <w:vMerge w:val="continue"/>
            <w:noWrap w:val="0"/>
            <w:vAlign w:val="center"/>
          </w:tcPr>
          <w:p w14:paraId="5079CB8C">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r>
      <w:tr w14:paraId="3B34C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0" w:hRule="atLeast"/>
        </w:trPr>
        <w:tc>
          <w:tcPr>
            <w:tcW w:w="556" w:type="dxa"/>
            <w:noWrap w:val="0"/>
            <w:vAlign w:val="center"/>
          </w:tcPr>
          <w:p w14:paraId="697A2F97">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15</w:t>
            </w:r>
          </w:p>
        </w:tc>
        <w:tc>
          <w:tcPr>
            <w:tcW w:w="836" w:type="dxa"/>
            <w:vMerge w:val="continue"/>
            <w:noWrap w:val="0"/>
            <w:vAlign w:val="center"/>
          </w:tcPr>
          <w:p w14:paraId="540CC0CB">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1303" w:type="dxa"/>
            <w:noWrap w:val="0"/>
            <w:vAlign w:val="center"/>
          </w:tcPr>
          <w:p w14:paraId="29130250">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跟进记录</w:t>
            </w:r>
          </w:p>
        </w:tc>
        <w:tc>
          <w:tcPr>
            <w:tcW w:w="5013" w:type="dxa"/>
            <w:noWrap w:val="0"/>
            <w:vAlign w:val="center"/>
          </w:tcPr>
          <w:p w14:paraId="1E5237E4">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线索、商机与项目共用一套客户阶段：业务需求→初步设计→用户立项上会→财政局财评→意向公示→需求论证→招标挂网→投标决策→投标文件制作→投标及公示→中标合同签订→项目实施→项目运维→项目结算；需记录跟进时间、跟进方式（电话/当面/线上拜访）、联系人、联系电话、跟进描述、相关附件、跟进备注及下次跟进时间，系统将在下次跟进时间前1天发送提醒。</w:t>
            </w:r>
          </w:p>
        </w:tc>
        <w:tc>
          <w:tcPr>
            <w:tcW w:w="709" w:type="dxa"/>
            <w:vMerge w:val="continue"/>
            <w:noWrap w:val="0"/>
            <w:vAlign w:val="center"/>
          </w:tcPr>
          <w:p w14:paraId="0859B7D8">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803" w:type="dxa"/>
            <w:vMerge w:val="continue"/>
            <w:noWrap w:val="0"/>
            <w:vAlign w:val="center"/>
          </w:tcPr>
          <w:p w14:paraId="696C1FF3">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r>
      <w:tr w14:paraId="144C0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trPr>
        <w:tc>
          <w:tcPr>
            <w:tcW w:w="556" w:type="dxa"/>
            <w:noWrap w:val="0"/>
            <w:vAlign w:val="center"/>
          </w:tcPr>
          <w:p w14:paraId="3C0FEE06">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16</w:t>
            </w:r>
          </w:p>
        </w:tc>
        <w:tc>
          <w:tcPr>
            <w:tcW w:w="836" w:type="dxa"/>
            <w:vMerge w:val="continue"/>
            <w:noWrap w:val="0"/>
            <w:vAlign w:val="center"/>
          </w:tcPr>
          <w:p w14:paraId="7F66F7C6">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1303" w:type="dxa"/>
            <w:noWrap w:val="0"/>
            <w:vAlign w:val="center"/>
          </w:tcPr>
          <w:p w14:paraId="19B7D38C">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线索转商机</w:t>
            </w:r>
          </w:p>
        </w:tc>
        <w:tc>
          <w:tcPr>
            <w:tcW w:w="5013" w:type="dxa"/>
            <w:noWrap w:val="0"/>
            <w:vAlign w:val="center"/>
          </w:tcPr>
          <w:p w14:paraId="371424D2">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选定目标线索并补充相关信息后即可转化为商机；客户信息支持复用已有信息或直接新建，新建时按客户名称执行查重；项目维度支持单选项目所有人、多选项目参与人，并支持对预算与周期进行拆分，便于后续统计。</w:t>
            </w:r>
          </w:p>
        </w:tc>
        <w:tc>
          <w:tcPr>
            <w:tcW w:w="709" w:type="dxa"/>
            <w:vMerge w:val="continue"/>
            <w:noWrap w:val="0"/>
            <w:vAlign w:val="center"/>
          </w:tcPr>
          <w:p w14:paraId="283401E6">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803" w:type="dxa"/>
            <w:vMerge w:val="continue"/>
            <w:noWrap w:val="0"/>
            <w:vAlign w:val="center"/>
          </w:tcPr>
          <w:p w14:paraId="3AAD312D">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r>
      <w:tr w14:paraId="57C40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556" w:type="dxa"/>
            <w:noWrap w:val="0"/>
            <w:vAlign w:val="center"/>
          </w:tcPr>
          <w:p w14:paraId="5615DDC3">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 xml:space="preserve">           </w:t>
            </w:r>
          </w:p>
        </w:tc>
        <w:tc>
          <w:tcPr>
            <w:tcW w:w="836" w:type="dxa"/>
            <w:vMerge w:val="restart"/>
            <w:noWrap w:val="0"/>
            <w:vAlign w:val="center"/>
          </w:tcPr>
          <w:p w14:paraId="18E1133B">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客户管理</w:t>
            </w:r>
            <w:r>
              <w:rPr>
                <w:rFonts w:hint="eastAsia" w:ascii="宋体" w:hAnsi="宋体" w:eastAsia="宋体" w:cs="宋体"/>
                <w:b w:val="0"/>
                <w:bCs w:val="0"/>
                <w:i w:val="0"/>
                <w:iCs w:val="0"/>
                <w:color w:val="auto"/>
                <w:kern w:val="0"/>
                <w:sz w:val="24"/>
                <w:szCs w:val="24"/>
                <w:u w:val="none"/>
                <w:lang w:val="en-US" w:eastAsia="zh-CN" w:bidi="ar"/>
              </w:rPr>
              <w:t>定制</w:t>
            </w:r>
          </w:p>
        </w:tc>
        <w:tc>
          <w:tcPr>
            <w:tcW w:w="1303" w:type="dxa"/>
            <w:noWrap w:val="0"/>
            <w:vAlign w:val="center"/>
          </w:tcPr>
          <w:p w14:paraId="6E6A7A8D">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所有客户</w:t>
            </w:r>
          </w:p>
        </w:tc>
        <w:tc>
          <w:tcPr>
            <w:tcW w:w="5013" w:type="dxa"/>
            <w:noWrap w:val="0"/>
            <w:vAlign w:val="center"/>
          </w:tcPr>
          <w:p w14:paraId="68C2F34B">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集中展示公司全部客户档案，覆盖已分配、公海等所有状态，面向各部门负责人及领导开放；支持新增、编辑客户信息，可查看客户的完整详情。</w:t>
            </w:r>
          </w:p>
        </w:tc>
        <w:tc>
          <w:tcPr>
            <w:tcW w:w="709" w:type="dxa"/>
            <w:vMerge w:val="restart"/>
            <w:noWrap/>
            <w:vAlign w:val="center"/>
          </w:tcPr>
          <w:p w14:paraId="0CFF3802">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1</w:t>
            </w:r>
          </w:p>
        </w:tc>
        <w:tc>
          <w:tcPr>
            <w:tcW w:w="803" w:type="dxa"/>
            <w:vMerge w:val="restart"/>
            <w:noWrap/>
            <w:vAlign w:val="center"/>
          </w:tcPr>
          <w:p w14:paraId="5AFE4AA3">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项</w:t>
            </w:r>
          </w:p>
        </w:tc>
      </w:tr>
      <w:tr w14:paraId="33F78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trPr>
        <w:tc>
          <w:tcPr>
            <w:tcW w:w="556" w:type="dxa"/>
            <w:noWrap w:val="0"/>
            <w:vAlign w:val="center"/>
          </w:tcPr>
          <w:p w14:paraId="429E29C3">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18</w:t>
            </w:r>
          </w:p>
        </w:tc>
        <w:tc>
          <w:tcPr>
            <w:tcW w:w="836" w:type="dxa"/>
            <w:vMerge w:val="continue"/>
            <w:noWrap w:val="0"/>
            <w:vAlign w:val="center"/>
          </w:tcPr>
          <w:p w14:paraId="57C10FD0">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1303" w:type="dxa"/>
            <w:noWrap w:val="0"/>
            <w:vAlign w:val="center"/>
          </w:tcPr>
          <w:p w14:paraId="501F959B">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客户基本信息</w:t>
            </w:r>
          </w:p>
        </w:tc>
        <w:tc>
          <w:tcPr>
            <w:tcW w:w="5013" w:type="dxa"/>
            <w:noWrap w:val="0"/>
            <w:vAlign w:val="center"/>
          </w:tcPr>
          <w:p w14:paraId="62EC508B">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客户名称、客户编码（系统自动生成）、统一社会信用代码、级别（省市县乡）、地址、一/二/三级客户（树形结构，最多支持三级）、负责人、协同人、重要性、关系、联系人/职务/联系电话。</w:t>
            </w:r>
          </w:p>
        </w:tc>
        <w:tc>
          <w:tcPr>
            <w:tcW w:w="709" w:type="dxa"/>
            <w:vMerge w:val="continue"/>
            <w:noWrap w:val="0"/>
            <w:vAlign w:val="center"/>
          </w:tcPr>
          <w:p w14:paraId="766BA24C">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803" w:type="dxa"/>
            <w:vMerge w:val="continue"/>
            <w:noWrap w:val="0"/>
            <w:vAlign w:val="center"/>
          </w:tcPr>
          <w:p w14:paraId="6FD35399">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r>
      <w:tr w14:paraId="22D5A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556" w:type="dxa"/>
            <w:noWrap w:val="0"/>
            <w:vAlign w:val="center"/>
          </w:tcPr>
          <w:p w14:paraId="1EF82B23">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19</w:t>
            </w:r>
          </w:p>
        </w:tc>
        <w:tc>
          <w:tcPr>
            <w:tcW w:w="836" w:type="dxa"/>
            <w:vMerge w:val="continue"/>
            <w:noWrap w:val="0"/>
            <w:vAlign w:val="center"/>
          </w:tcPr>
          <w:p w14:paraId="1ACDA8AD">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1303" w:type="dxa"/>
            <w:noWrap w:val="0"/>
            <w:vAlign w:val="center"/>
          </w:tcPr>
          <w:p w14:paraId="12B62B05">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客户公海</w:t>
            </w:r>
          </w:p>
        </w:tc>
        <w:tc>
          <w:tcPr>
            <w:tcW w:w="5013" w:type="dxa"/>
            <w:noWrap w:val="0"/>
            <w:vAlign w:val="center"/>
          </w:tcPr>
          <w:p w14:paraId="4FDB0A68">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未被认领或分配的客户公共池，具备相应权限的员工均可查看；部门负责人可将公海客户分配给员工，员工也可自行认领，认领流程为：发起人→部门负责人。</w:t>
            </w:r>
          </w:p>
        </w:tc>
        <w:tc>
          <w:tcPr>
            <w:tcW w:w="709" w:type="dxa"/>
            <w:vMerge w:val="continue"/>
            <w:noWrap w:val="0"/>
            <w:vAlign w:val="center"/>
          </w:tcPr>
          <w:p w14:paraId="1F3B6A0A">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803" w:type="dxa"/>
            <w:vMerge w:val="continue"/>
            <w:noWrap w:val="0"/>
            <w:vAlign w:val="center"/>
          </w:tcPr>
          <w:p w14:paraId="370CE0CE">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r>
      <w:tr w14:paraId="58089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556" w:type="dxa"/>
            <w:noWrap w:val="0"/>
            <w:vAlign w:val="center"/>
          </w:tcPr>
          <w:p w14:paraId="57287F14">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20</w:t>
            </w:r>
          </w:p>
        </w:tc>
        <w:tc>
          <w:tcPr>
            <w:tcW w:w="836" w:type="dxa"/>
            <w:vMerge w:val="continue"/>
            <w:noWrap w:val="0"/>
            <w:vAlign w:val="center"/>
          </w:tcPr>
          <w:p w14:paraId="57428553">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1303" w:type="dxa"/>
            <w:noWrap w:val="0"/>
            <w:vAlign w:val="center"/>
          </w:tcPr>
          <w:p w14:paraId="5B0A5058">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我的客户</w:t>
            </w:r>
          </w:p>
        </w:tc>
        <w:tc>
          <w:tcPr>
            <w:tcW w:w="5013" w:type="dxa"/>
            <w:noWrap w:val="0"/>
            <w:vAlign w:val="center"/>
          </w:tcPr>
          <w:p w14:paraId="37896825">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展示当前登录用户作为负责人或协助人关联的客户，支持查看客户详情、编辑企业基本信息、维护联系人信息、新增跟进记录。</w:t>
            </w:r>
          </w:p>
        </w:tc>
        <w:tc>
          <w:tcPr>
            <w:tcW w:w="709" w:type="dxa"/>
            <w:vMerge w:val="continue"/>
            <w:noWrap w:val="0"/>
            <w:vAlign w:val="center"/>
          </w:tcPr>
          <w:p w14:paraId="5419079B">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803" w:type="dxa"/>
            <w:vMerge w:val="continue"/>
            <w:noWrap w:val="0"/>
            <w:vAlign w:val="center"/>
          </w:tcPr>
          <w:p w14:paraId="6DAD19B0">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r>
      <w:tr w14:paraId="03ED7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trPr>
        <w:tc>
          <w:tcPr>
            <w:tcW w:w="556" w:type="dxa"/>
            <w:noWrap w:val="0"/>
            <w:vAlign w:val="center"/>
          </w:tcPr>
          <w:p w14:paraId="5A8EB3FC">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21</w:t>
            </w:r>
          </w:p>
        </w:tc>
        <w:tc>
          <w:tcPr>
            <w:tcW w:w="836" w:type="dxa"/>
            <w:vMerge w:val="continue"/>
            <w:noWrap w:val="0"/>
            <w:vAlign w:val="center"/>
          </w:tcPr>
          <w:p w14:paraId="6ED97B4A">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1303" w:type="dxa"/>
            <w:noWrap w:val="0"/>
            <w:vAlign w:val="center"/>
          </w:tcPr>
          <w:p w14:paraId="4817AF8F">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客户详情-穿透查询</w:t>
            </w:r>
          </w:p>
        </w:tc>
        <w:tc>
          <w:tcPr>
            <w:tcW w:w="5013" w:type="dxa"/>
            <w:noWrap w:val="0"/>
            <w:vAlign w:val="center"/>
          </w:tcPr>
          <w:p w14:paraId="7BA9A515">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支持穿透查询客户基本信息，以及该客户关联的联系人、线索、跟进记录、商机、项目列表、收付款记录、开票信息、收票记录、合同记录；</w:t>
            </w:r>
          </w:p>
        </w:tc>
        <w:tc>
          <w:tcPr>
            <w:tcW w:w="709" w:type="dxa"/>
            <w:vMerge w:val="continue"/>
            <w:noWrap w:val="0"/>
            <w:vAlign w:val="center"/>
          </w:tcPr>
          <w:p w14:paraId="72DE9B67">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803" w:type="dxa"/>
            <w:vMerge w:val="continue"/>
            <w:noWrap w:val="0"/>
            <w:vAlign w:val="center"/>
          </w:tcPr>
          <w:p w14:paraId="12CF2774">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r>
      <w:tr w14:paraId="362BC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trPr>
        <w:tc>
          <w:tcPr>
            <w:tcW w:w="556" w:type="dxa"/>
            <w:noWrap w:val="0"/>
            <w:vAlign w:val="center"/>
          </w:tcPr>
          <w:p w14:paraId="7F64B472">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22</w:t>
            </w:r>
          </w:p>
        </w:tc>
        <w:tc>
          <w:tcPr>
            <w:tcW w:w="836" w:type="dxa"/>
            <w:vMerge w:val="continue"/>
            <w:noWrap w:val="0"/>
            <w:vAlign w:val="center"/>
          </w:tcPr>
          <w:p w14:paraId="6FBAC4C4">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1303" w:type="dxa"/>
            <w:noWrap w:val="0"/>
            <w:vAlign w:val="center"/>
          </w:tcPr>
          <w:p w14:paraId="14F763EE">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客户详情-回款/开票</w:t>
            </w:r>
          </w:p>
        </w:tc>
        <w:tc>
          <w:tcPr>
            <w:tcW w:w="5013" w:type="dxa"/>
            <w:noWrap w:val="0"/>
            <w:vAlign w:val="center"/>
          </w:tcPr>
          <w:p w14:paraId="5C253196">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开票历史按开票申请日期倒序排列；回款计划按计划回款日期倒序排列，可展示回款状态，并统计计划回款金额、已回款金额与待回款金额；到款记录按到款日期倒序排列。</w:t>
            </w:r>
          </w:p>
        </w:tc>
        <w:tc>
          <w:tcPr>
            <w:tcW w:w="709" w:type="dxa"/>
            <w:vMerge w:val="continue"/>
            <w:noWrap w:val="0"/>
            <w:vAlign w:val="center"/>
          </w:tcPr>
          <w:p w14:paraId="5AB1E7A0">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803" w:type="dxa"/>
            <w:vMerge w:val="continue"/>
            <w:noWrap w:val="0"/>
            <w:vAlign w:val="center"/>
          </w:tcPr>
          <w:p w14:paraId="29EEFF75">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r>
      <w:tr w14:paraId="34758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trPr>
        <w:tc>
          <w:tcPr>
            <w:tcW w:w="556" w:type="dxa"/>
            <w:noWrap w:val="0"/>
            <w:vAlign w:val="center"/>
          </w:tcPr>
          <w:p w14:paraId="6D4602C1">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23</w:t>
            </w:r>
          </w:p>
        </w:tc>
        <w:tc>
          <w:tcPr>
            <w:tcW w:w="836" w:type="dxa"/>
            <w:vMerge w:val="continue"/>
            <w:noWrap w:val="0"/>
            <w:vAlign w:val="center"/>
          </w:tcPr>
          <w:p w14:paraId="0BF6F20A">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1303" w:type="dxa"/>
            <w:noWrap w:val="0"/>
            <w:vAlign w:val="center"/>
          </w:tcPr>
          <w:p w14:paraId="37222303">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客户资信评价</w:t>
            </w:r>
          </w:p>
        </w:tc>
        <w:tc>
          <w:tcPr>
            <w:tcW w:w="5013" w:type="dxa"/>
            <w:noWrap w:val="0"/>
            <w:vAlign w:val="center"/>
          </w:tcPr>
          <w:p w14:paraId="23EDA5D1">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发起客户资信评价流程，按照基本情况（20%）、财务状况（30%）、信用记录（25%）、交易历史（15%）、业务背景（10%）五个维度打分，生成A/B/C/D四级评级，对应不同的授信与担保要求；评价流程需经过多环节审批签字。</w:t>
            </w:r>
          </w:p>
        </w:tc>
        <w:tc>
          <w:tcPr>
            <w:tcW w:w="709" w:type="dxa"/>
            <w:vMerge w:val="continue"/>
            <w:noWrap w:val="0"/>
            <w:vAlign w:val="center"/>
          </w:tcPr>
          <w:p w14:paraId="57002E8F">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803" w:type="dxa"/>
            <w:vMerge w:val="continue"/>
            <w:noWrap w:val="0"/>
            <w:vAlign w:val="center"/>
          </w:tcPr>
          <w:p w14:paraId="6AB23286">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r>
      <w:tr w14:paraId="16269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556" w:type="dxa"/>
            <w:noWrap w:val="0"/>
            <w:vAlign w:val="center"/>
          </w:tcPr>
          <w:p w14:paraId="7376EA9E">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24</w:t>
            </w:r>
          </w:p>
        </w:tc>
        <w:tc>
          <w:tcPr>
            <w:tcW w:w="836" w:type="dxa"/>
            <w:vMerge w:val="continue"/>
            <w:noWrap w:val="0"/>
            <w:vAlign w:val="center"/>
          </w:tcPr>
          <w:p w14:paraId="1EEF7499">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1303" w:type="dxa"/>
            <w:noWrap w:val="0"/>
            <w:vAlign w:val="center"/>
          </w:tcPr>
          <w:p w14:paraId="462FAAA6">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客户标签</w:t>
            </w:r>
          </w:p>
        </w:tc>
        <w:tc>
          <w:tcPr>
            <w:tcW w:w="5013" w:type="dxa"/>
            <w:noWrap w:val="0"/>
            <w:vAlign w:val="center"/>
          </w:tcPr>
          <w:p w14:paraId="77FF9D11">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支持维护客户标签项，单个客户可关联多个标签。</w:t>
            </w:r>
          </w:p>
        </w:tc>
        <w:tc>
          <w:tcPr>
            <w:tcW w:w="709" w:type="dxa"/>
            <w:vMerge w:val="continue"/>
            <w:noWrap w:val="0"/>
            <w:vAlign w:val="center"/>
          </w:tcPr>
          <w:p w14:paraId="79349227">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803" w:type="dxa"/>
            <w:vMerge w:val="continue"/>
            <w:noWrap w:val="0"/>
            <w:vAlign w:val="center"/>
          </w:tcPr>
          <w:p w14:paraId="323F19D5">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r>
      <w:tr w14:paraId="43119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0" w:hRule="atLeast"/>
        </w:trPr>
        <w:tc>
          <w:tcPr>
            <w:tcW w:w="556" w:type="dxa"/>
            <w:noWrap w:val="0"/>
            <w:vAlign w:val="center"/>
          </w:tcPr>
          <w:p w14:paraId="6D824E30">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25</w:t>
            </w:r>
          </w:p>
        </w:tc>
        <w:tc>
          <w:tcPr>
            <w:tcW w:w="836" w:type="dxa"/>
            <w:vMerge w:val="restart"/>
            <w:noWrap w:val="0"/>
            <w:vAlign w:val="center"/>
          </w:tcPr>
          <w:p w14:paraId="4E8D15B5">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商机管理</w:t>
            </w:r>
            <w:r>
              <w:rPr>
                <w:rFonts w:hint="eastAsia" w:ascii="宋体" w:hAnsi="宋体" w:eastAsia="宋体" w:cs="宋体"/>
                <w:b w:val="0"/>
                <w:bCs w:val="0"/>
                <w:i w:val="0"/>
                <w:iCs w:val="0"/>
                <w:color w:val="auto"/>
                <w:kern w:val="0"/>
                <w:sz w:val="24"/>
                <w:szCs w:val="24"/>
                <w:u w:val="none"/>
                <w:lang w:val="en-US" w:eastAsia="zh-CN" w:bidi="ar"/>
              </w:rPr>
              <w:t>定制</w:t>
            </w:r>
          </w:p>
        </w:tc>
        <w:tc>
          <w:tcPr>
            <w:tcW w:w="1303" w:type="dxa"/>
            <w:noWrap w:val="0"/>
            <w:vAlign w:val="center"/>
          </w:tcPr>
          <w:p w14:paraId="2E6EFA13">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▲商机建立</w:t>
            </w:r>
          </w:p>
        </w:tc>
        <w:tc>
          <w:tcPr>
            <w:tcW w:w="5013" w:type="dxa"/>
            <w:noWrap w:val="0"/>
            <w:vAlign w:val="center"/>
          </w:tcPr>
          <w:p w14:paraId="79ACE50B">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支持通过线索转化或直接录入两种方式建立商机，商机编号由系统自动生成；需关联对应客户，已有客户信息可直接选择，无对应信息可直接填写；需填报的字段包括客户1/2级、商机名称、项目概况、项目所有人/参与人、重要度、类型、预算总价/单价、周期、开始结束时间、预计招标时间、客户阶段、客户支持度、竞争对手。</w:t>
            </w:r>
          </w:p>
        </w:tc>
        <w:tc>
          <w:tcPr>
            <w:tcW w:w="709" w:type="dxa"/>
            <w:vMerge w:val="restart"/>
            <w:noWrap/>
            <w:vAlign w:val="center"/>
          </w:tcPr>
          <w:p w14:paraId="22E006D1">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1</w:t>
            </w:r>
          </w:p>
        </w:tc>
        <w:tc>
          <w:tcPr>
            <w:tcW w:w="803" w:type="dxa"/>
            <w:vMerge w:val="restart"/>
            <w:noWrap/>
            <w:vAlign w:val="center"/>
          </w:tcPr>
          <w:p w14:paraId="6C590DBD">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项</w:t>
            </w:r>
          </w:p>
        </w:tc>
      </w:tr>
      <w:tr w14:paraId="57377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556" w:type="dxa"/>
            <w:noWrap w:val="0"/>
            <w:vAlign w:val="center"/>
          </w:tcPr>
          <w:p w14:paraId="5E656D5E">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26</w:t>
            </w:r>
          </w:p>
        </w:tc>
        <w:tc>
          <w:tcPr>
            <w:tcW w:w="836" w:type="dxa"/>
            <w:vMerge w:val="continue"/>
            <w:noWrap w:val="0"/>
            <w:vAlign w:val="center"/>
          </w:tcPr>
          <w:p w14:paraId="45623872">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1303" w:type="dxa"/>
            <w:noWrap w:val="0"/>
            <w:vAlign w:val="center"/>
          </w:tcPr>
          <w:p w14:paraId="0155A1C2">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商机操作</w:t>
            </w:r>
          </w:p>
        </w:tc>
        <w:tc>
          <w:tcPr>
            <w:tcW w:w="5013" w:type="dxa"/>
            <w:noWrap w:val="0"/>
            <w:vAlign w:val="center"/>
          </w:tcPr>
          <w:p w14:paraId="726F6C3B">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支持对商机进行编辑、新增跟进记录以及建立里程碑。</w:t>
            </w:r>
          </w:p>
        </w:tc>
        <w:tc>
          <w:tcPr>
            <w:tcW w:w="709" w:type="dxa"/>
            <w:vMerge w:val="continue"/>
            <w:noWrap w:val="0"/>
            <w:vAlign w:val="center"/>
          </w:tcPr>
          <w:p w14:paraId="4154827F">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803" w:type="dxa"/>
            <w:vMerge w:val="continue"/>
            <w:noWrap w:val="0"/>
            <w:vAlign w:val="center"/>
          </w:tcPr>
          <w:p w14:paraId="6A003B27">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r>
      <w:tr w14:paraId="4A4FE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556" w:type="dxa"/>
            <w:noWrap w:val="0"/>
            <w:vAlign w:val="center"/>
          </w:tcPr>
          <w:p w14:paraId="7DA532A8">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27</w:t>
            </w:r>
          </w:p>
        </w:tc>
        <w:tc>
          <w:tcPr>
            <w:tcW w:w="836" w:type="dxa"/>
            <w:vMerge w:val="continue"/>
            <w:noWrap w:val="0"/>
            <w:vAlign w:val="center"/>
          </w:tcPr>
          <w:p w14:paraId="3BE2CF5E">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1303" w:type="dxa"/>
            <w:noWrap w:val="0"/>
            <w:vAlign w:val="center"/>
          </w:tcPr>
          <w:p w14:paraId="0CC650E7">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跟进记录</w:t>
            </w:r>
          </w:p>
        </w:tc>
        <w:tc>
          <w:tcPr>
            <w:tcW w:w="5013" w:type="dxa"/>
            <w:noWrap w:val="0"/>
            <w:vAlign w:val="center"/>
          </w:tcPr>
          <w:p w14:paraId="69574D4A">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支持随时新增和查看跟进记录，若填写下次跟进时间，系统将提前1天发送提醒（该项为非必填）；跟进记录覆盖线索、商机、项目全流程阶段。</w:t>
            </w:r>
          </w:p>
        </w:tc>
        <w:tc>
          <w:tcPr>
            <w:tcW w:w="709" w:type="dxa"/>
            <w:vMerge w:val="continue"/>
            <w:noWrap w:val="0"/>
            <w:vAlign w:val="center"/>
          </w:tcPr>
          <w:p w14:paraId="07B55D70">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803" w:type="dxa"/>
            <w:vMerge w:val="continue"/>
            <w:noWrap w:val="0"/>
            <w:vAlign w:val="center"/>
          </w:tcPr>
          <w:p w14:paraId="529E2CAB">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r>
      <w:tr w14:paraId="0B0E0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556" w:type="dxa"/>
            <w:noWrap w:val="0"/>
            <w:vAlign w:val="center"/>
          </w:tcPr>
          <w:p w14:paraId="593F5868">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28</w:t>
            </w:r>
          </w:p>
        </w:tc>
        <w:tc>
          <w:tcPr>
            <w:tcW w:w="836" w:type="dxa"/>
            <w:vMerge w:val="continue"/>
            <w:noWrap w:val="0"/>
            <w:vAlign w:val="center"/>
          </w:tcPr>
          <w:p w14:paraId="19C9818C">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1303" w:type="dxa"/>
            <w:noWrap w:val="0"/>
            <w:vAlign w:val="center"/>
          </w:tcPr>
          <w:p w14:paraId="03EF7F1D">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标书购买</w:t>
            </w:r>
          </w:p>
        </w:tc>
        <w:tc>
          <w:tcPr>
            <w:tcW w:w="5013" w:type="dxa"/>
            <w:noWrap w:val="0"/>
            <w:vAlign w:val="center"/>
          </w:tcPr>
          <w:p w14:paraId="525D5A96">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购买标书产生的费用，可通过发起付款申请或报销申请办理，付款/报销类型选择“标书购买”。</w:t>
            </w:r>
          </w:p>
        </w:tc>
        <w:tc>
          <w:tcPr>
            <w:tcW w:w="709" w:type="dxa"/>
            <w:vMerge w:val="continue"/>
            <w:noWrap w:val="0"/>
            <w:vAlign w:val="center"/>
          </w:tcPr>
          <w:p w14:paraId="0DA50B50">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803" w:type="dxa"/>
            <w:vMerge w:val="continue"/>
            <w:noWrap w:val="0"/>
            <w:vAlign w:val="center"/>
          </w:tcPr>
          <w:p w14:paraId="2A106748">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r>
      <w:tr w14:paraId="3774F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trPr>
        <w:tc>
          <w:tcPr>
            <w:tcW w:w="556" w:type="dxa"/>
            <w:noWrap w:val="0"/>
            <w:vAlign w:val="center"/>
          </w:tcPr>
          <w:p w14:paraId="32611D4C">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29</w:t>
            </w:r>
          </w:p>
        </w:tc>
        <w:tc>
          <w:tcPr>
            <w:tcW w:w="836" w:type="dxa"/>
            <w:vMerge w:val="continue"/>
            <w:noWrap w:val="0"/>
            <w:vAlign w:val="center"/>
          </w:tcPr>
          <w:p w14:paraId="0FD39851">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1303" w:type="dxa"/>
            <w:noWrap w:val="0"/>
            <w:vAlign w:val="center"/>
          </w:tcPr>
          <w:p w14:paraId="34A3C974">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投标项目核算申请</w:t>
            </w:r>
          </w:p>
        </w:tc>
        <w:tc>
          <w:tcPr>
            <w:tcW w:w="5013" w:type="dxa"/>
            <w:noWrap w:val="0"/>
            <w:vAlign w:val="center"/>
          </w:tcPr>
          <w:p w14:paraId="0A0352E6">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可填写项目核算信息并发起审批，支持信息导入；涵盖项目需求、预算、核算成本、成本附件、收款计划、成本分解（物料/人工/资金占用/其他/风险费用）、利润率、资金占用额度/时间、资金来源、资金保障度等内容。</w:t>
            </w:r>
          </w:p>
        </w:tc>
        <w:tc>
          <w:tcPr>
            <w:tcW w:w="709" w:type="dxa"/>
            <w:vMerge w:val="continue"/>
            <w:noWrap w:val="0"/>
            <w:vAlign w:val="center"/>
          </w:tcPr>
          <w:p w14:paraId="56316257">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803" w:type="dxa"/>
            <w:vMerge w:val="continue"/>
            <w:noWrap w:val="0"/>
            <w:vAlign w:val="center"/>
          </w:tcPr>
          <w:p w14:paraId="5A2A36F9">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r>
      <w:tr w14:paraId="3D84A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0" w:hRule="atLeast"/>
        </w:trPr>
        <w:tc>
          <w:tcPr>
            <w:tcW w:w="556" w:type="dxa"/>
            <w:noWrap w:val="0"/>
            <w:vAlign w:val="center"/>
          </w:tcPr>
          <w:p w14:paraId="3CB7D469">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30</w:t>
            </w:r>
          </w:p>
        </w:tc>
        <w:tc>
          <w:tcPr>
            <w:tcW w:w="836" w:type="dxa"/>
            <w:vMerge w:val="continue"/>
            <w:noWrap w:val="0"/>
            <w:vAlign w:val="center"/>
          </w:tcPr>
          <w:p w14:paraId="6FC27784">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1303" w:type="dxa"/>
            <w:noWrap w:val="0"/>
            <w:vAlign w:val="center"/>
          </w:tcPr>
          <w:p w14:paraId="0BF02AA5">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投标申请</w:t>
            </w:r>
          </w:p>
        </w:tc>
        <w:tc>
          <w:tcPr>
            <w:tcW w:w="5013" w:type="dxa"/>
            <w:noWrap w:val="0"/>
            <w:vAlign w:val="center"/>
          </w:tcPr>
          <w:p w14:paraId="2BF13A4B">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选择对应投标商机后，系统自动带入项目编码、项目重要度等信息；需填报资金占用、测算利润、资金保障度（由核算环节带出）、投标内容形式（货物/服务/工程/其他）、投标形式（询价/比选/邀请/单一来源/磋商/公开招标）、采购渠道、投标费用（保证金/标书费/标书制作费）。</w:t>
            </w:r>
          </w:p>
        </w:tc>
        <w:tc>
          <w:tcPr>
            <w:tcW w:w="709" w:type="dxa"/>
            <w:vMerge w:val="continue"/>
            <w:noWrap w:val="0"/>
            <w:vAlign w:val="center"/>
          </w:tcPr>
          <w:p w14:paraId="5A10604B">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803" w:type="dxa"/>
            <w:vMerge w:val="continue"/>
            <w:noWrap w:val="0"/>
            <w:vAlign w:val="center"/>
          </w:tcPr>
          <w:p w14:paraId="6C04DF21">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r>
      <w:tr w14:paraId="780AF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556" w:type="dxa"/>
            <w:noWrap w:val="0"/>
            <w:vAlign w:val="center"/>
          </w:tcPr>
          <w:p w14:paraId="59F0CF21">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31</w:t>
            </w:r>
          </w:p>
        </w:tc>
        <w:tc>
          <w:tcPr>
            <w:tcW w:w="836" w:type="dxa"/>
            <w:vMerge w:val="continue"/>
            <w:noWrap w:val="0"/>
            <w:vAlign w:val="center"/>
          </w:tcPr>
          <w:p w14:paraId="0E591B25">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1303" w:type="dxa"/>
            <w:noWrap w:val="0"/>
            <w:vAlign w:val="center"/>
          </w:tcPr>
          <w:p w14:paraId="6F0CEFBF">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标书制作付款/报销申请</w:t>
            </w:r>
          </w:p>
        </w:tc>
        <w:tc>
          <w:tcPr>
            <w:tcW w:w="5013" w:type="dxa"/>
            <w:noWrap w:val="0"/>
            <w:vAlign w:val="center"/>
          </w:tcPr>
          <w:p w14:paraId="0621D219">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制作标书产生的费用，可通过发起付款申请或报销申请办理，付款/报销类型选择“标书制作”。</w:t>
            </w:r>
          </w:p>
        </w:tc>
        <w:tc>
          <w:tcPr>
            <w:tcW w:w="709" w:type="dxa"/>
            <w:vMerge w:val="continue"/>
            <w:noWrap w:val="0"/>
            <w:vAlign w:val="center"/>
          </w:tcPr>
          <w:p w14:paraId="44B347F5">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803" w:type="dxa"/>
            <w:vMerge w:val="continue"/>
            <w:noWrap w:val="0"/>
            <w:vAlign w:val="center"/>
          </w:tcPr>
          <w:p w14:paraId="23520A64">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r>
      <w:tr w14:paraId="265CA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556" w:type="dxa"/>
            <w:noWrap w:val="0"/>
            <w:vAlign w:val="center"/>
          </w:tcPr>
          <w:p w14:paraId="7F60FB87">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32</w:t>
            </w:r>
          </w:p>
        </w:tc>
        <w:tc>
          <w:tcPr>
            <w:tcW w:w="836" w:type="dxa"/>
            <w:vMerge w:val="continue"/>
            <w:noWrap w:val="0"/>
            <w:vAlign w:val="center"/>
          </w:tcPr>
          <w:p w14:paraId="3C2DA99E">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1303" w:type="dxa"/>
            <w:noWrap w:val="0"/>
            <w:vAlign w:val="center"/>
          </w:tcPr>
          <w:p w14:paraId="5A5EACF1">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投标（报价）文件申请</w:t>
            </w:r>
          </w:p>
        </w:tc>
        <w:tc>
          <w:tcPr>
            <w:tcW w:w="5013" w:type="dxa"/>
            <w:noWrap w:val="0"/>
            <w:vAlign w:val="center"/>
          </w:tcPr>
          <w:p w14:paraId="5F0CEEE5">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标书或报价文件制作完成后，发起相应审批流程；投标文件申请内容涵盖自检情况、控制价、报价金额。</w:t>
            </w:r>
          </w:p>
        </w:tc>
        <w:tc>
          <w:tcPr>
            <w:tcW w:w="709" w:type="dxa"/>
            <w:vMerge w:val="continue"/>
            <w:noWrap w:val="0"/>
            <w:vAlign w:val="center"/>
          </w:tcPr>
          <w:p w14:paraId="7E462321">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803" w:type="dxa"/>
            <w:vMerge w:val="continue"/>
            <w:noWrap w:val="0"/>
            <w:vAlign w:val="center"/>
          </w:tcPr>
          <w:p w14:paraId="45082DD5">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r>
      <w:tr w14:paraId="5C019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trPr>
        <w:tc>
          <w:tcPr>
            <w:tcW w:w="556" w:type="dxa"/>
            <w:noWrap w:val="0"/>
            <w:vAlign w:val="center"/>
          </w:tcPr>
          <w:p w14:paraId="4AD0FE7F">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33</w:t>
            </w:r>
          </w:p>
        </w:tc>
        <w:tc>
          <w:tcPr>
            <w:tcW w:w="836" w:type="dxa"/>
            <w:vMerge w:val="continue"/>
            <w:noWrap w:val="0"/>
            <w:vAlign w:val="center"/>
          </w:tcPr>
          <w:p w14:paraId="502AA648">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1303" w:type="dxa"/>
            <w:noWrap w:val="0"/>
            <w:vAlign w:val="center"/>
          </w:tcPr>
          <w:p w14:paraId="561DFC6D">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投标结果登记</w:t>
            </w:r>
          </w:p>
        </w:tc>
        <w:tc>
          <w:tcPr>
            <w:tcW w:w="5013" w:type="dxa"/>
            <w:noWrap w:val="0"/>
            <w:vAlign w:val="center"/>
          </w:tcPr>
          <w:p w14:paraId="2571B874">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选中项目申请后，系统自动带入相关内容，操作人员需对投标结果（中标/丢标/流标/延期/项目取消）进行登记并填写备注；若投标结果为中标，系统将自动生成项目并完成项目负责人变更，实现从市场部门到执行部门的工作移交。</w:t>
            </w:r>
          </w:p>
        </w:tc>
        <w:tc>
          <w:tcPr>
            <w:tcW w:w="709" w:type="dxa"/>
            <w:vMerge w:val="continue"/>
            <w:noWrap w:val="0"/>
            <w:vAlign w:val="center"/>
          </w:tcPr>
          <w:p w14:paraId="4C31DCB9">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803" w:type="dxa"/>
            <w:vMerge w:val="continue"/>
            <w:noWrap w:val="0"/>
            <w:vAlign w:val="center"/>
          </w:tcPr>
          <w:p w14:paraId="25B06D03">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r>
      <w:tr w14:paraId="77CC4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556" w:type="dxa"/>
            <w:noWrap w:val="0"/>
            <w:vAlign w:val="center"/>
          </w:tcPr>
          <w:p w14:paraId="1B52DB51">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34</w:t>
            </w:r>
          </w:p>
        </w:tc>
        <w:tc>
          <w:tcPr>
            <w:tcW w:w="836" w:type="dxa"/>
            <w:vMerge w:val="continue"/>
            <w:noWrap w:val="0"/>
            <w:vAlign w:val="center"/>
          </w:tcPr>
          <w:p w14:paraId="31361780">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1303" w:type="dxa"/>
            <w:noWrap w:val="0"/>
            <w:vAlign w:val="center"/>
          </w:tcPr>
          <w:p w14:paraId="319D6BA2">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用印申请</w:t>
            </w:r>
          </w:p>
        </w:tc>
        <w:tc>
          <w:tcPr>
            <w:tcW w:w="5013" w:type="dxa"/>
            <w:noWrap w:val="0"/>
            <w:vAlign w:val="center"/>
          </w:tcPr>
          <w:p w14:paraId="0A022D83">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支持在商机模块直接发起用印申请，用印申请号规则为HYSQ-年月日-4位流水。</w:t>
            </w:r>
          </w:p>
        </w:tc>
        <w:tc>
          <w:tcPr>
            <w:tcW w:w="709" w:type="dxa"/>
            <w:vMerge w:val="continue"/>
            <w:noWrap w:val="0"/>
            <w:vAlign w:val="center"/>
          </w:tcPr>
          <w:p w14:paraId="7902D36B">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803" w:type="dxa"/>
            <w:vMerge w:val="continue"/>
            <w:noWrap w:val="0"/>
            <w:vAlign w:val="center"/>
          </w:tcPr>
          <w:p w14:paraId="22440FDD">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r>
      <w:tr w14:paraId="08B18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556" w:type="dxa"/>
            <w:noWrap w:val="0"/>
            <w:vAlign w:val="center"/>
          </w:tcPr>
          <w:p w14:paraId="19CAB2CB">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35</w:t>
            </w:r>
          </w:p>
        </w:tc>
        <w:tc>
          <w:tcPr>
            <w:tcW w:w="836" w:type="dxa"/>
            <w:vMerge w:val="continue"/>
            <w:noWrap w:val="0"/>
            <w:vAlign w:val="center"/>
          </w:tcPr>
          <w:p w14:paraId="29DCF0F5">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1303" w:type="dxa"/>
            <w:noWrap w:val="0"/>
            <w:vAlign w:val="center"/>
          </w:tcPr>
          <w:p w14:paraId="244AE2B9">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商机详情</w:t>
            </w:r>
          </w:p>
        </w:tc>
        <w:tc>
          <w:tcPr>
            <w:tcW w:w="5013" w:type="dxa"/>
            <w:noWrap w:val="0"/>
            <w:vAlign w:val="center"/>
          </w:tcPr>
          <w:p w14:paraId="6D36BB65">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展示商机基本信息、跟进记录与里程碑信息。</w:t>
            </w:r>
          </w:p>
        </w:tc>
        <w:tc>
          <w:tcPr>
            <w:tcW w:w="709" w:type="dxa"/>
            <w:vMerge w:val="continue"/>
            <w:noWrap w:val="0"/>
            <w:vAlign w:val="center"/>
          </w:tcPr>
          <w:p w14:paraId="6E53BE31">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803" w:type="dxa"/>
            <w:vMerge w:val="continue"/>
            <w:noWrap w:val="0"/>
            <w:vAlign w:val="center"/>
          </w:tcPr>
          <w:p w14:paraId="63A7A2EC">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r>
      <w:tr w14:paraId="55BFC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trPr>
        <w:tc>
          <w:tcPr>
            <w:tcW w:w="556" w:type="dxa"/>
            <w:noWrap w:val="0"/>
            <w:vAlign w:val="center"/>
          </w:tcPr>
          <w:p w14:paraId="6EBEB003">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36</w:t>
            </w:r>
          </w:p>
        </w:tc>
        <w:tc>
          <w:tcPr>
            <w:tcW w:w="836" w:type="dxa"/>
            <w:vMerge w:val="restart"/>
            <w:noWrap w:val="0"/>
            <w:vAlign w:val="center"/>
          </w:tcPr>
          <w:p w14:paraId="702F8794">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项目管理</w:t>
            </w:r>
            <w:r>
              <w:rPr>
                <w:rFonts w:hint="eastAsia" w:ascii="宋体" w:hAnsi="宋体" w:eastAsia="宋体" w:cs="宋体"/>
                <w:b w:val="0"/>
                <w:bCs w:val="0"/>
                <w:i w:val="0"/>
                <w:iCs w:val="0"/>
                <w:color w:val="auto"/>
                <w:kern w:val="0"/>
                <w:sz w:val="24"/>
                <w:szCs w:val="24"/>
                <w:u w:val="none"/>
                <w:lang w:val="en-US" w:eastAsia="zh-CN" w:bidi="ar"/>
              </w:rPr>
              <w:t>定制</w:t>
            </w:r>
          </w:p>
        </w:tc>
        <w:tc>
          <w:tcPr>
            <w:tcW w:w="1303" w:type="dxa"/>
            <w:noWrap w:val="0"/>
            <w:vAlign w:val="center"/>
          </w:tcPr>
          <w:p w14:paraId="6C634A79">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▲项目台账</w:t>
            </w:r>
          </w:p>
        </w:tc>
        <w:tc>
          <w:tcPr>
            <w:tcW w:w="5013" w:type="dxa"/>
            <w:noWrap w:val="0"/>
            <w:vAlign w:val="center"/>
          </w:tcPr>
          <w:p w14:paraId="2BD1D1B8">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在权限范围内展示可查看的项目台账数据，支持查看单个项目详情；可在项目条目处直接发起创建项目、填写跟进记录、开票申请、到款登记、付款申请、用印申请等快捷操作，系统将自动带入该项目已有信息。</w:t>
            </w:r>
          </w:p>
        </w:tc>
        <w:tc>
          <w:tcPr>
            <w:tcW w:w="709" w:type="dxa"/>
            <w:vMerge w:val="restart"/>
            <w:noWrap/>
            <w:vAlign w:val="center"/>
          </w:tcPr>
          <w:p w14:paraId="06DB8AD9">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1</w:t>
            </w:r>
          </w:p>
        </w:tc>
        <w:tc>
          <w:tcPr>
            <w:tcW w:w="803" w:type="dxa"/>
            <w:vMerge w:val="restart"/>
            <w:noWrap/>
            <w:vAlign w:val="center"/>
          </w:tcPr>
          <w:p w14:paraId="250A3EE0">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项</w:t>
            </w:r>
          </w:p>
        </w:tc>
      </w:tr>
      <w:tr w14:paraId="3EE6E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556" w:type="dxa"/>
            <w:noWrap w:val="0"/>
            <w:vAlign w:val="center"/>
          </w:tcPr>
          <w:p w14:paraId="38B27A05">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37</w:t>
            </w:r>
          </w:p>
        </w:tc>
        <w:tc>
          <w:tcPr>
            <w:tcW w:w="836" w:type="dxa"/>
            <w:vMerge w:val="continue"/>
            <w:noWrap w:val="0"/>
            <w:vAlign w:val="center"/>
          </w:tcPr>
          <w:p w14:paraId="4EAE1C97">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1303" w:type="dxa"/>
            <w:noWrap w:val="0"/>
            <w:vAlign w:val="center"/>
          </w:tcPr>
          <w:p w14:paraId="667217F7">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项目创建</w:t>
            </w:r>
          </w:p>
        </w:tc>
        <w:tc>
          <w:tcPr>
            <w:tcW w:w="5013" w:type="dxa"/>
            <w:noWrap w:val="0"/>
            <w:vAlign w:val="center"/>
          </w:tcPr>
          <w:p w14:paraId="3D6D7724">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当商机登记的投标结果为中标时，该商机将自动转为项目，原有编号保持不变；同时支持手动新增项目。</w:t>
            </w:r>
          </w:p>
        </w:tc>
        <w:tc>
          <w:tcPr>
            <w:tcW w:w="709" w:type="dxa"/>
            <w:vMerge w:val="continue"/>
            <w:noWrap w:val="0"/>
            <w:vAlign w:val="center"/>
          </w:tcPr>
          <w:p w14:paraId="5004346D">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803" w:type="dxa"/>
            <w:vMerge w:val="continue"/>
            <w:noWrap w:val="0"/>
            <w:vAlign w:val="center"/>
          </w:tcPr>
          <w:p w14:paraId="2D99545E">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r>
      <w:tr w14:paraId="17C76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556" w:type="dxa"/>
            <w:noWrap w:val="0"/>
            <w:vAlign w:val="center"/>
          </w:tcPr>
          <w:p w14:paraId="657AD45B">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38</w:t>
            </w:r>
          </w:p>
        </w:tc>
        <w:tc>
          <w:tcPr>
            <w:tcW w:w="836" w:type="dxa"/>
            <w:vMerge w:val="continue"/>
            <w:noWrap w:val="0"/>
            <w:vAlign w:val="center"/>
          </w:tcPr>
          <w:p w14:paraId="61B7AF6A">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1303" w:type="dxa"/>
            <w:noWrap w:val="0"/>
            <w:vAlign w:val="center"/>
          </w:tcPr>
          <w:p w14:paraId="284FE98E">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项目跟进</w:t>
            </w:r>
          </w:p>
        </w:tc>
        <w:tc>
          <w:tcPr>
            <w:tcW w:w="5013" w:type="dxa"/>
            <w:noWrap w:val="0"/>
            <w:vAlign w:val="center"/>
          </w:tcPr>
          <w:p w14:paraId="2D9DD8FB">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填写跟进记录，操作方式与商机一致。</w:t>
            </w:r>
          </w:p>
        </w:tc>
        <w:tc>
          <w:tcPr>
            <w:tcW w:w="709" w:type="dxa"/>
            <w:vMerge w:val="continue"/>
            <w:noWrap w:val="0"/>
            <w:vAlign w:val="center"/>
          </w:tcPr>
          <w:p w14:paraId="479FE2F8">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803" w:type="dxa"/>
            <w:vMerge w:val="continue"/>
            <w:noWrap w:val="0"/>
            <w:vAlign w:val="center"/>
          </w:tcPr>
          <w:p w14:paraId="471C2D1F">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r>
      <w:tr w14:paraId="0046C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trPr>
        <w:tc>
          <w:tcPr>
            <w:tcW w:w="556" w:type="dxa"/>
            <w:noWrap w:val="0"/>
            <w:vAlign w:val="center"/>
          </w:tcPr>
          <w:p w14:paraId="2438E5C4">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39</w:t>
            </w:r>
          </w:p>
        </w:tc>
        <w:tc>
          <w:tcPr>
            <w:tcW w:w="836" w:type="dxa"/>
            <w:vMerge w:val="continue"/>
            <w:noWrap w:val="0"/>
            <w:vAlign w:val="center"/>
          </w:tcPr>
          <w:p w14:paraId="68C06C70">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1303" w:type="dxa"/>
            <w:noWrap w:val="0"/>
            <w:vAlign w:val="center"/>
          </w:tcPr>
          <w:p w14:paraId="1687F02A">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销售合同签订</w:t>
            </w:r>
          </w:p>
        </w:tc>
        <w:tc>
          <w:tcPr>
            <w:tcW w:w="5013" w:type="dxa"/>
            <w:noWrap w:val="0"/>
            <w:vAlign w:val="center"/>
          </w:tcPr>
          <w:p w14:paraId="1584A6FF">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中标后发起销售合同签订流程，合同编号在流程审批结束后自动生成；操作人员需录入合同基本信息并同步建立回款计划，系统支持复制单条计划实现便捷添加，在预计回款时间前5天自动提醒负责人。</w:t>
            </w:r>
          </w:p>
        </w:tc>
        <w:tc>
          <w:tcPr>
            <w:tcW w:w="709" w:type="dxa"/>
            <w:vMerge w:val="continue"/>
            <w:noWrap w:val="0"/>
            <w:vAlign w:val="center"/>
          </w:tcPr>
          <w:p w14:paraId="1F78EF50">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803" w:type="dxa"/>
            <w:vMerge w:val="continue"/>
            <w:noWrap w:val="0"/>
            <w:vAlign w:val="center"/>
          </w:tcPr>
          <w:p w14:paraId="6DDFEB41">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r>
      <w:tr w14:paraId="2C685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trPr>
        <w:tc>
          <w:tcPr>
            <w:tcW w:w="556" w:type="dxa"/>
            <w:noWrap w:val="0"/>
            <w:vAlign w:val="center"/>
          </w:tcPr>
          <w:p w14:paraId="0E54B2C5">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40</w:t>
            </w:r>
          </w:p>
        </w:tc>
        <w:tc>
          <w:tcPr>
            <w:tcW w:w="836" w:type="dxa"/>
            <w:vMerge w:val="continue"/>
            <w:noWrap w:val="0"/>
            <w:vAlign w:val="center"/>
          </w:tcPr>
          <w:p w14:paraId="0722FCD0">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1303" w:type="dxa"/>
            <w:noWrap w:val="0"/>
            <w:vAlign w:val="center"/>
          </w:tcPr>
          <w:p w14:paraId="178DF88B">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项目里程碑</w:t>
            </w:r>
          </w:p>
        </w:tc>
        <w:tc>
          <w:tcPr>
            <w:tcW w:w="5013" w:type="dxa"/>
            <w:noWrap w:val="0"/>
            <w:vAlign w:val="center"/>
          </w:tcPr>
          <w:p w14:paraId="35B59AE8">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可在商机阶段或项目阶段建立里程碑，支持根据项目阶段变化补充新增内容；里程碑信息包含总目标，以及分解后的里程碑信息（编号、内容、完成评价标准、计划起始时间）。</w:t>
            </w:r>
          </w:p>
        </w:tc>
        <w:tc>
          <w:tcPr>
            <w:tcW w:w="709" w:type="dxa"/>
            <w:vMerge w:val="continue"/>
            <w:noWrap w:val="0"/>
            <w:vAlign w:val="center"/>
          </w:tcPr>
          <w:p w14:paraId="4CBB4A3F">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803" w:type="dxa"/>
            <w:vMerge w:val="continue"/>
            <w:noWrap w:val="0"/>
            <w:vAlign w:val="center"/>
          </w:tcPr>
          <w:p w14:paraId="3B181971">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r>
      <w:tr w14:paraId="178DF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trPr>
        <w:tc>
          <w:tcPr>
            <w:tcW w:w="556" w:type="dxa"/>
            <w:noWrap w:val="0"/>
            <w:vAlign w:val="center"/>
          </w:tcPr>
          <w:p w14:paraId="53A7C2FB">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41</w:t>
            </w:r>
          </w:p>
        </w:tc>
        <w:tc>
          <w:tcPr>
            <w:tcW w:w="836" w:type="dxa"/>
            <w:vMerge w:val="continue"/>
            <w:noWrap w:val="0"/>
            <w:vAlign w:val="center"/>
          </w:tcPr>
          <w:p w14:paraId="383BC833">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1303" w:type="dxa"/>
            <w:noWrap w:val="0"/>
            <w:vAlign w:val="center"/>
          </w:tcPr>
          <w:p w14:paraId="470826A0">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采购申请</w:t>
            </w:r>
          </w:p>
        </w:tc>
        <w:tc>
          <w:tcPr>
            <w:tcW w:w="5013" w:type="dxa"/>
            <w:noWrap w:val="0"/>
            <w:vAlign w:val="center"/>
          </w:tcPr>
          <w:p w14:paraId="3F23D8A2">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针对采购业务项目相关内容，可发起采购申请；申请内容包含采购活动编号、采购名称、采购内容、采购形式（询价/比选/邀请/单一来源/磋商/公开招标）、采购渠道、控制金额、是否纳入经营考核、关联支委会/三重一大事项、采购清单明细。</w:t>
            </w:r>
          </w:p>
        </w:tc>
        <w:tc>
          <w:tcPr>
            <w:tcW w:w="709" w:type="dxa"/>
            <w:vMerge w:val="continue"/>
            <w:noWrap w:val="0"/>
            <w:vAlign w:val="center"/>
          </w:tcPr>
          <w:p w14:paraId="4A6A8263">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803" w:type="dxa"/>
            <w:vMerge w:val="continue"/>
            <w:noWrap w:val="0"/>
            <w:vAlign w:val="center"/>
          </w:tcPr>
          <w:p w14:paraId="2C4B45C7">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r>
      <w:tr w14:paraId="64807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trPr>
        <w:tc>
          <w:tcPr>
            <w:tcW w:w="556" w:type="dxa"/>
            <w:noWrap w:val="0"/>
            <w:vAlign w:val="center"/>
          </w:tcPr>
          <w:p w14:paraId="65B82BCF">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42</w:t>
            </w:r>
          </w:p>
        </w:tc>
        <w:tc>
          <w:tcPr>
            <w:tcW w:w="836" w:type="dxa"/>
            <w:vMerge w:val="continue"/>
            <w:noWrap w:val="0"/>
            <w:vAlign w:val="center"/>
          </w:tcPr>
          <w:p w14:paraId="6AD23A05">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1303" w:type="dxa"/>
            <w:noWrap w:val="0"/>
            <w:vAlign w:val="center"/>
          </w:tcPr>
          <w:p w14:paraId="03DEC725">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采购实施</w:t>
            </w:r>
          </w:p>
        </w:tc>
        <w:tc>
          <w:tcPr>
            <w:tcW w:w="5013" w:type="dxa"/>
            <w:noWrap w:val="0"/>
            <w:vAlign w:val="center"/>
          </w:tcPr>
          <w:p w14:paraId="2079E14A">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选择对应采购申请即可带出申请内容，系统根据所选采购渠道（部门询价/线下询价/公司官网邀请/委托代理/直接采购）展示对应的填写界面，完成信息填报后发起采购实施结果确认流程。</w:t>
            </w:r>
          </w:p>
        </w:tc>
        <w:tc>
          <w:tcPr>
            <w:tcW w:w="709" w:type="dxa"/>
            <w:vMerge w:val="continue"/>
            <w:noWrap w:val="0"/>
            <w:vAlign w:val="center"/>
          </w:tcPr>
          <w:p w14:paraId="2CE9E4D5">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803" w:type="dxa"/>
            <w:vMerge w:val="continue"/>
            <w:noWrap w:val="0"/>
            <w:vAlign w:val="center"/>
          </w:tcPr>
          <w:p w14:paraId="3B2C923E">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r>
      <w:tr w14:paraId="60AEF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556" w:type="dxa"/>
            <w:noWrap w:val="0"/>
            <w:vAlign w:val="center"/>
          </w:tcPr>
          <w:p w14:paraId="1F18D588">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43</w:t>
            </w:r>
          </w:p>
        </w:tc>
        <w:tc>
          <w:tcPr>
            <w:tcW w:w="836" w:type="dxa"/>
            <w:vMerge w:val="continue"/>
            <w:noWrap w:val="0"/>
            <w:vAlign w:val="center"/>
          </w:tcPr>
          <w:p w14:paraId="5623F1A3">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1303" w:type="dxa"/>
            <w:noWrap w:val="0"/>
            <w:vAlign w:val="center"/>
          </w:tcPr>
          <w:p w14:paraId="68E0EA55">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采购合同签订</w:t>
            </w:r>
          </w:p>
        </w:tc>
        <w:tc>
          <w:tcPr>
            <w:tcW w:w="5013" w:type="dxa"/>
            <w:noWrap w:val="0"/>
            <w:vAlign w:val="center"/>
          </w:tcPr>
          <w:p w14:paraId="24BE34FF">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采购实施确认通过后发起采购合同签订流程，需关联对应采购申请；完成采购合同基本信息录入后，同步建立付款计划。</w:t>
            </w:r>
          </w:p>
        </w:tc>
        <w:tc>
          <w:tcPr>
            <w:tcW w:w="709" w:type="dxa"/>
            <w:vMerge w:val="continue"/>
            <w:noWrap w:val="0"/>
            <w:vAlign w:val="center"/>
          </w:tcPr>
          <w:p w14:paraId="22EC6964">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803" w:type="dxa"/>
            <w:vMerge w:val="continue"/>
            <w:noWrap w:val="0"/>
            <w:vAlign w:val="center"/>
          </w:tcPr>
          <w:p w14:paraId="2322B444">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r>
      <w:tr w14:paraId="7F412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trPr>
        <w:tc>
          <w:tcPr>
            <w:tcW w:w="556" w:type="dxa"/>
            <w:noWrap w:val="0"/>
            <w:vAlign w:val="center"/>
          </w:tcPr>
          <w:p w14:paraId="38FE40D2">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44</w:t>
            </w:r>
          </w:p>
        </w:tc>
        <w:tc>
          <w:tcPr>
            <w:tcW w:w="836" w:type="dxa"/>
            <w:vMerge w:val="continue"/>
            <w:noWrap w:val="0"/>
            <w:vAlign w:val="center"/>
          </w:tcPr>
          <w:p w14:paraId="25989CA0">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1303" w:type="dxa"/>
            <w:noWrap w:val="0"/>
            <w:vAlign w:val="center"/>
          </w:tcPr>
          <w:p w14:paraId="1A9883B6">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回款计划看板</w:t>
            </w:r>
          </w:p>
        </w:tc>
        <w:tc>
          <w:tcPr>
            <w:tcW w:w="5013" w:type="dxa"/>
            <w:noWrap w:val="0"/>
            <w:vAlign w:val="center"/>
          </w:tcPr>
          <w:p w14:paraId="6263F82B">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基于销售合同建立的回款计划同步生成回款计划看板；看板统计计划金额、已开票金额、已回款金额、未回款金额，对超期未回款的项目标红提醒；回款计划状态划分为：未开始/部分回款/回款完成/逾期。</w:t>
            </w:r>
          </w:p>
        </w:tc>
        <w:tc>
          <w:tcPr>
            <w:tcW w:w="709" w:type="dxa"/>
            <w:vMerge w:val="continue"/>
            <w:noWrap w:val="0"/>
            <w:vAlign w:val="center"/>
          </w:tcPr>
          <w:p w14:paraId="365F7FE9">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803" w:type="dxa"/>
            <w:vMerge w:val="continue"/>
            <w:noWrap w:val="0"/>
            <w:vAlign w:val="center"/>
          </w:tcPr>
          <w:p w14:paraId="3E290B87">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r>
      <w:tr w14:paraId="7B523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trPr>
        <w:tc>
          <w:tcPr>
            <w:tcW w:w="556" w:type="dxa"/>
            <w:noWrap w:val="0"/>
            <w:vAlign w:val="center"/>
          </w:tcPr>
          <w:p w14:paraId="3CD923B3">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45</w:t>
            </w:r>
          </w:p>
        </w:tc>
        <w:tc>
          <w:tcPr>
            <w:tcW w:w="836" w:type="dxa"/>
            <w:vMerge w:val="continue"/>
            <w:noWrap w:val="0"/>
            <w:vAlign w:val="center"/>
          </w:tcPr>
          <w:p w14:paraId="31CF9FDF">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1303" w:type="dxa"/>
            <w:noWrap w:val="0"/>
            <w:vAlign w:val="center"/>
          </w:tcPr>
          <w:p w14:paraId="4F8538FA">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付款计划看板</w:t>
            </w:r>
          </w:p>
        </w:tc>
        <w:tc>
          <w:tcPr>
            <w:tcW w:w="5013" w:type="dxa"/>
            <w:noWrap w:val="0"/>
            <w:vAlign w:val="center"/>
          </w:tcPr>
          <w:p w14:paraId="7C2A7E01">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同步采购合同所建立的付款计划生成付款计划看板，在付款前数日发送提醒；看板可统计计划金额、已收票金额、已付款金额、待付款金额；付款计划状态划分为：未开始/部分付款/已付款完成/逾期。</w:t>
            </w:r>
          </w:p>
        </w:tc>
        <w:tc>
          <w:tcPr>
            <w:tcW w:w="709" w:type="dxa"/>
            <w:vMerge w:val="continue"/>
            <w:noWrap w:val="0"/>
            <w:vAlign w:val="center"/>
          </w:tcPr>
          <w:p w14:paraId="5B187C43">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803" w:type="dxa"/>
            <w:vMerge w:val="continue"/>
            <w:noWrap w:val="0"/>
            <w:vAlign w:val="center"/>
          </w:tcPr>
          <w:p w14:paraId="45D455BC">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r>
      <w:tr w14:paraId="7FE8E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556" w:type="dxa"/>
            <w:noWrap w:val="0"/>
            <w:vAlign w:val="center"/>
          </w:tcPr>
          <w:p w14:paraId="0D0E76B5">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46</w:t>
            </w:r>
          </w:p>
        </w:tc>
        <w:tc>
          <w:tcPr>
            <w:tcW w:w="836" w:type="dxa"/>
            <w:vMerge w:val="continue"/>
            <w:noWrap w:val="0"/>
            <w:vAlign w:val="center"/>
          </w:tcPr>
          <w:p w14:paraId="60FE5AFF">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1303" w:type="dxa"/>
            <w:noWrap w:val="0"/>
            <w:vAlign w:val="center"/>
          </w:tcPr>
          <w:p w14:paraId="42A564BA">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验收</w:t>
            </w:r>
          </w:p>
        </w:tc>
        <w:tc>
          <w:tcPr>
            <w:tcW w:w="5013" w:type="dxa"/>
            <w:noWrap w:val="0"/>
            <w:vAlign w:val="center"/>
          </w:tcPr>
          <w:p w14:paraId="62160063">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采购合同约定内容全部完成后，发起验收申请流程，并关联对应采购合同；申请内容需包含验收类型、验收成员、预计验收时间、实际验收时间、验收内容及验收文件。</w:t>
            </w:r>
          </w:p>
        </w:tc>
        <w:tc>
          <w:tcPr>
            <w:tcW w:w="709" w:type="dxa"/>
            <w:vMerge w:val="continue"/>
            <w:noWrap w:val="0"/>
            <w:vAlign w:val="center"/>
          </w:tcPr>
          <w:p w14:paraId="10F12B1C">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803" w:type="dxa"/>
            <w:vMerge w:val="continue"/>
            <w:noWrap w:val="0"/>
            <w:vAlign w:val="center"/>
          </w:tcPr>
          <w:p w14:paraId="2D58EC42">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r>
      <w:tr w14:paraId="6ADF3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0" w:hRule="atLeast"/>
        </w:trPr>
        <w:tc>
          <w:tcPr>
            <w:tcW w:w="556" w:type="dxa"/>
            <w:noWrap w:val="0"/>
            <w:vAlign w:val="center"/>
          </w:tcPr>
          <w:p w14:paraId="33CEA6E6">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48</w:t>
            </w:r>
          </w:p>
        </w:tc>
        <w:tc>
          <w:tcPr>
            <w:tcW w:w="836" w:type="dxa"/>
            <w:vMerge w:val="continue"/>
            <w:noWrap w:val="0"/>
            <w:vAlign w:val="center"/>
          </w:tcPr>
          <w:p w14:paraId="2A6C666F">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1303" w:type="dxa"/>
            <w:noWrap w:val="0"/>
            <w:vAlign w:val="center"/>
          </w:tcPr>
          <w:p w14:paraId="0D19345D">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项目详情</w:t>
            </w:r>
          </w:p>
        </w:tc>
        <w:tc>
          <w:tcPr>
            <w:tcW w:w="5013" w:type="dxa"/>
            <w:noWrap w:val="0"/>
            <w:vAlign w:val="center"/>
          </w:tcPr>
          <w:p w14:paraId="056BABE0">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以选项卡形式展示项目全流程关联信息，涵盖基本信息、跟进记录、投标信息、销售合同、回款计划及状态、里程碑、开票申请、采购申请、采购实施、采购合同、付款计划及状态、收票登记、付款申请、用印申请、支委会/三重一大、验收、项目成本合计（工资条/费用分摊/报销/付款/油卡）。</w:t>
            </w:r>
          </w:p>
        </w:tc>
        <w:tc>
          <w:tcPr>
            <w:tcW w:w="709" w:type="dxa"/>
            <w:vMerge w:val="continue"/>
            <w:noWrap w:val="0"/>
            <w:vAlign w:val="center"/>
          </w:tcPr>
          <w:p w14:paraId="70A71E92">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803" w:type="dxa"/>
            <w:vMerge w:val="continue"/>
            <w:noWrap w:val="0"/>
            <w:vAlign w:val="center"/>
          </w:tcPr>
          <w:p w14:paraId="173A0514">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r>
      <w:tr w14:paraId="11896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556" w:type="dxa"/>
            <w:noWrap w:val="0"/>
            <w:vAlign w:val="center"/>
          </w:tcPr>
          <w:p w14:paraId="68620157">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49</w:t>
            </w:r>
          </w:p>
        </w:tc>
        <w:tc>
          <w:tcPr>
            <w:tcW w:w="836" w:type="dxa"/>
            <w:vMerge w:val="restart"/>
            <w:noWrap w:val="0"/>
            <w:vAlign w:val="center"/>
          </w:tcPr>
          <w:p w14:paraId="5C794611">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合同管理</w:t>
            </w:r>
            <w:r>
              <w:rPr>
                <w:rFonts w:hint="eastAsia" w:ascii="宋体" w:hAnsi="宋体" w:eastAsia="宋体" w:cs="宋体"/>
                <w:b w:val="0"/>
                <w:bCs w:val="0"/>
                <w:i w:val="0"/>
                <w:iCs w:val="0"/>
                <w:color w:val="auto"/>
                <w:kern w:val="0"/>
                <w:sz w:val="24"/>
                <w:szCs w:val="24"/>
                <w:u w:val="none"/>
                <w:lang w:val="en-US" w:eastAsia="zh-CN" w:bidi="ar"/>
              </w:rPr>
              <w:t>定制</w:t>
            </w:r>
          </w:p>
        </w:tc>
        <w:tc>
          <w:tcPr>
            <w:tcW w:w="1303" w:type="dxa"/>
            <w:noWrap w:val="0"/>
            <w:vAlign w:val="center"/>
          </w:tcPr>
          <w:p w14:paraId="0A7B521C">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kern w:val="2"/>
                <w:sz w:val="24"/>
                <w:szCs w:val="24"/>
              </w:rPr>
              <w:t>▲</w:t>
            </w:r>
            <w:r>
              <w:rPr>
                <w:rFonts w:hint="eastAsia" w:ascii="宋体" w:hAnsi="宋体" w:cs="宋体"/>
                <w:b w:val="0"/>
                <w:bCs w:val="0"/>
                <w:color w:val="auto"/>
                <w:sz w:val="24"/>
                <w:szCs w:val="24"/>
              </w:rPr>
              <w:t>销售合同台账</w:t>
            </w:r>
          </w:p>
        </w:tc>
        <w:tc>
          <w:tcPr>
            <w:tcW w:w="5013" w:type="dxa"/>
            <w:noWrap w:val="0"/>
            <w:vAlign w:val="center"/>
          </w:tcPr>
          <w:p w14:paraId="4A61C7AE">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销售合同签订完成后自动形成台账，支持发起合同变更申请、查看合同详情；详情内容包含回款计划，具体显示开票状态、已回款金额、待回款金额及回款状态。</w:t>
            </w:r>
          </w:p>
        </w:tc>
        <w:tc>
          <w:tcPr>
            <w:tcW w:w="709" w:type="dxa"/>
            <w:vMerge w:val="restart"/>
            <w:noWrap/>
            <w:vAlign w:val="center"/>
          </w:tcPr>
          <w:p w14:paraId="4274D317">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1</w:t>
            </w:r>
          </w:p>
        </w:tc>
        <w:tc>
          <w:tcPr>
            <w:tcW w:w="803" w:type="dxa"/>
            <w:vMerge w:val="restart"/>
            <w:noWrap/>
            <w:vAlign w:val="center"/>
          </w:tcPr>
          <w:p w14:paraId="18243A07">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项</w:t>
            </w:r>
          </w:p>
        </w:tc>
      </w:tr>
      <w:tr w14:paraId="4E5FB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556" w:type="dxa"/>
            <w:noWrap w:val="0"/>
            <w:vAlign w:val="center"/>
          </w:tcPr>
          <w:p w14:paraId="755529C1">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50</w:t>
            </w:r>
          </w:p>
        </w:tc>
        <w:tc>
          <w:tcPr>
            <w:tcW w:w="836" w:type="dxa"/>
            <w:vMerge w:val="continue"/>
            <w:noWrap w:val="0"/>
            <w:vAlign w:val="center"/>
          </w:tcPr>
          <w:p w14:paraId="6E3A4D71">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1303" w:type="dxa"/>
            <w:noWrap w:val="0"/>
            <w:vAlign w:val="center"/>
          </w:tcPr>
          <w:p w14:paraId="3DBC7403">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采购合同台账</w:t>
            </w:r>
          </w:p>
        </w:tc>
        <w:tc>
          <w:tcPr>
            <w:tcW w:w="5013" w:type="dxa"/>
            <w:noWrap w:val="0"/>
            <w:vAlign w:val="center"/>
          </w:tcPr>
          <w:p w14:paraId="50C32FC5">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采购合同签订完成后自动形成台账，支持发起合同变更申请、查看合同详情；详情内容包含付款计划，具体显示开票状态、已付款金额、待付款金额及付款状态。</w:t>
            </w:r>
          </w:p>
        </w:tc>
        <w:tc>
          <w:tcPr>
            <w:tcW w:w="709" w:type="dxa"/>
            <w:vMerge w:val="continue"/>
            <w:noWrap w:val="0"/>
            <w:vAlign w:val="center"/>
          </w:tcPr>
          <w:p w14:paraId="16D348C7">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803" w:type="dxa"/>
            <w:vMerge w:val="continue"/>
            <w:noWrap w:val="0"/>
            <w:vAlign w:val="center"/>
          </w:tcPr>
          <w:p w14:paraId="59481B19">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r>
      <w:tr w14:paraId="49D34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556" w:type="dxa"/>
            <w:noWrap w:val="0"/>
            <w:vAlign w:val="center"/>
          </w:tcPr>
          <w:p w14:paraId="5B7B24F3">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51</w:t>
            </w:r>
          </w:p>
        </w:tc>
        <w:tc>
          <w:tcPr>
            <w:tcW w:w="836" w:type="dxa"/>
            <w:vMerge w:val="continue"/>
            <w:noWrap w:val="0"/>
            <w:vAlign w:val="center"/>
          </w:tcPr>
          <w:p w14:paraId="1734C406">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1303" w:type="dxa"/>
            <w:noWrap w:val="0"/>
            <w:vAlign w:val="center"/>
          </w:tcPr>
          <w:p w14:paraId="549AC380">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合同变更申请</w:t>
            </w:r>
          </w:p>
        </w:tc>
        <w:tc>
          <w:tcPr>
            <w:tcW w:w="5013" w:type="dxa"/>
            <w:noWrap w:val="0"/>
            <w:vAlign w:val="center"/>
          </w:tcPr>
          <w:p w14:paraId="61D76D9A">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可变更合同中原定且尚未执行的回款计划与付款计划；变更完成后，其余内容统一采用新合同文本，仍支持查询原合同流程。</w:t>
            </w:r>
          </w:p>
        </w:tc>
        <w:tc>
          <w:tcPr>
            <w:tcW w:w="709" w:type="dxa"/>
            <w:vMerge w:val="continue"/>
            <w:noWrap w:val="0"/>
            <w:vAlign w:val="center"/>
          </w:tcPr>
          <w:p w14:paraId="06F8CB54">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803" w:type="dxa"/>
            <w:vMerge w:val="continue"/>
            <w:noWrap w:val="0"/>
            <w:vAlign w:val="center"/>
          </w:tcPr>
          <w:p w14:paraId="4D2E9F34">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r>
      <w:tr w14:paraId="3CC91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trPr>
        <w:tc>
          <w:tcPr>
            <w:tcW w:w="556" w:type="dxa"/>
            <w:noWrap w:val="0"/>
            <w:vAlign w:val="center"/>
          </w:tcPr>
          <w:p w14:paraId="781CA529">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52</w:t>
            </w:r>
          </w:p>
        </w:tc>
        <w:tc>
          <w:tcPr>
            <w:tcW w:w="836" w:type="dxa"/>
            <w:vMerge w:val="restart"/>
            <w:noWrap w:val="0"/>
            <w:vAlign w:val="center"/>
          </w:tcPr>
          <w:p w14:paraId="0E6F7DE4">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财务管理</w:t>
            </w:r>
            <w:r>
              <w:rPr>
                <w:rFonts w:hint="eastAsia" w:ascii="宋体" w:hAnsi="宋体" w:eastAsia="宋体" w:cs="宋体"/>
                <w:b w:val="0"/>
                <w:bCs w:val="0"/>
                <w:i w:val="0"/>
                <w:iCs w:val="0"/>
                <w:color w:val="auto"/>
                <w:kern w:val="0"/>
                <w:sz w:val="24"/>
                <w:szCs w:val="24"/>
                <w:u w:val="none"/>
                <w:lang w:val="en-US" w:eastAsia="zh-CN" w:bidi="ar"/>
              </w:rPr>
              <w:t>定制</w:t>
            </w:r>
          </w:p>
        </w:tc>
        <w:tc>
          <w:tcPr>
            <w:tcW w:w="1303" w:type="dxa"/>
            <w:noWrap w:val="0"/>
            <w:vAlign w:val="center"/>
          </w:tcPr>
          <w:p w14:paraId="170DB104">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kern w:val="2"/>
                <w:sz w:val="24"/>
                <w:szCs w:val="24"/>
              </w:rPr>
              <w:t>▲</w:t>
            </w:r>
            <w:r>
              <w:rPr>
                <w:rFonts w:hint="eastAsia" w:ascii="宋体" w:hAnsi="宋体" w:cs="宋体"/>
                <w:b w:val="0"/>
                <w:bCs w:val="0"/>
                <w:color w:val="auto"/>
                <w:sz w:val="24"/>
                <w:szCs w:val="24"/>
              </w:rPr>
              <w:t>开票申请</w:t>
            </w:r>
          </w:p>
        </w:tc>
        <w:tc>
          <w:tcPr>
            <w:tcW w:w="5013" w:type="dxa"/>
            <w:noWrap w:val="0"/>
            <w:vAlign w:val="center"/>
          </w:tcPr>
          <w:p w14:paraId="28DA2499">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项目回款时，由业务人员发起开票申请并关联对应回款计划，单次可关联同一合同下的多条回款计划，已完成回款的计划不可再关联；财务完成开票后上传发票，系统将发送消息通知申请人员下载，同时自动联动更新回款计划看板的开票状态。</w:t>
            </w:r>
          </w:p>
        </w:tc>
        <w:tc>
          <w:tcPr>
            <w:tcW w:w="709" w:type="dxa"/>
            <w:vMerge w:val="restart"/>
            <w:noWrap/>
            <w:vAlign w:val="center"/>
          </w:tcPr>
          <w:p w14:paraId="1199276C">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1</w:t>
            </w:r>
          </w:p>
        </w:tc>
        <w:tc>
          <w:tcPr>
            <w:tcW w:w="803" w:type="dxa"/>
            <w:vMerge w:val="restart"/>
            <w:noWrap/>
            <w:vAlign w:val="center"/>
          </w:tcPr>
          <w:p w14:paraId="740B560E">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项</w:t>
            </w:r>
          </w:p>
        </w:tc>
      </w:tr>
      <w:tr w14:paraId="5C16F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trPr>
        <w:tc>
          <w:tcPr>
            <w:tcW w:w="556" w:type="dxa"/>
            <w:noWrap w:val="0"/>
            <w:vAlign w:val="center"/>
          </w:tcPr>
          <w:p w14:paraId="3E3BD276">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53</w:t>
            </w:r>
          </w:p>
        </w:tc>
        <w:tc>
          <w:tcPr>
            <w:tcW w:w="836" w:type="dxa"/>
            <w:vMerge w:val="continue"/>
            <w:noWrap w:val="0"/>
            <w:vAlign w:val="center"/>
          </w:tcPr>
          <w:p w14:paraId="17BE5C1E">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1303" w:type="dxa"/>
            <w:noWrap w:val="0"/>
            <w:vAlign w:val="center"/>
          </w:tcPr>
          <w:p w14:paraId="6B435D81">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到款登记</w:t>
            </w:r>
          </w:p>
        </w:tc>
        <w:tc>
          <w:tcPr>
            <w:tcW w:w="5013" w:type="dxa"/>
            <w:noWrap w:val="0"/>
            <w:vAlign w:val="center"/>
          </w:tcPr>
          <w:p w14:paraId="4EF87905">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财务人员根据实际到账信息，在系统中定位对应项目、合同及回款计划完成到款登记；登记完成后，系统自动更新合同收款统计数据、回款计划到款状态与开票申请到款状态；支持记录到款超期信息，标注为提前X天或超期X天。</w:t>
            </w:r>
          </w:p>
        </w:tc>
        <w:tc>
          <w:tcPr>
            <w:tcW w:w="709" w:type="dxa"/>
            <w:vMerge w:val="continue"/>
            <w:noWrap w:val="0"/>
            <w:vAlign w:val="center"/>
          </w:tcPr>
          <w:p w14:paraId="13811DF3">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803" w:type="dxa"/>
            <w:vMerge w:val="continue"/>
            <w:noWrap w:val="0"/>
            <w:vAlign w:val="center"/>
          </w:tcPr>
          <w:p w14:paraId="1C536FE3">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r>
      <w:tr w14:paraId="21751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556" w:type="dxa"/>
            <w:noWrap w:val="0"/>
            <w:vAlign w:val="center"/>
          </w:tcPr>
          <w:p w14:paraId="453EDA6A">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54</w:t>
            </w:r>
          </w:p>
        </w:tc>
        <w:tc>
          <w:tcPr>
            <w:tcW w:w="836" w:type="dxa"/>
            <w:vMerge w:val="continue"/>
            <w:noWrap w:val="0"/>
            <w:vAlign w:val="center"/>
          </w:tcPr>
          <w:p w14:paraId="6BC22761">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1303" w:type="dxa"/>
            <w:noWrap w:val="0"/>
            <w:vAlign w:val="center"/>
          </w:tcPr>
          <w:p w14:paraId="1E343D7B">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付款申请</w:t>
            </w:r>
          </w:p>
        </w:tc>
        <w:tc>
          <w:tcPr>
            <w:tcW w:w="5013" w:type="dxa"/>
            <w:noWrap w:val="0"/>
            <w:vAlign w:val="center"/>
          </w:tcPr>
          <w:p w14:paraId="7E440249">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付款申请需关联对应付款计划并填写付款信息，支持同时选择多条付款计划；提交后由财务完成审批并打款。</w:t>
            </w:r>
          </w:p>
        </w:tc>
        <w:tc>
          <w:tcPr>
            <w:tcW w:w="709" w:type="dxa"/>
            <w:vMerge w:val="continue"/>
            <w:noWrap w:val="0"/>
            <w:vAlign w:val="center"/>
          </w:tcPr>
          <w:p w14:paraId="6E35A966">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803" w:type="dxa"/>
            <w:vMerge w:val="continue"/>
            <w:noWrap w:val="0"/>
            <w:vAlign w:val="center"/>
          </w:tcPr>
          <w:p w14:paraId="6F2BF858">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r>
      <w:tr w14:paraId="0FAAF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trPr>
        <w:tc>
          <w:tcPr>
            <w:tcW w:w="556" w:type="dxa"/>
            <w:noWrap w:val="0"/>
            <w:vAlign w:val="center"/>
          </w:tcPr>
          <w:p w14:paraId="3E53DB7E">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55</w:t>
            </w:r>
          </w:p>
        </w:tc>
        <w:tc>
          <w:tcPr>
            <w:tcW w:w="836" w:type="dxa"/>
            <w:vMerge w:val="continue"/>
            <w:noWrap w:val="0"/>
            <w:vAlign w:val="center"/>
          </w:tcPr>
          <w:p w14:paraId="079E41C9">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1303" w:type="dxa"/>
            <w:noWrap w:val="0"/>
            <w:vAlign w:val="center"/>
          </w:tcPr>
          <w:p w14:paraId="6ADA1766">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收票登记</w:t>
            </w:r>
          </w:p>
        </w:tc>
        <w:tc>
          <w:tcPr>
            <w:tcW w:w="5013" w:type="dxa"/>
            <w:noWrap w:val="0"/>
            <w:vAlign w:val="center"/>
          </w:tcPr>
          <w:p w14:paraId="21641DE9">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业务人员收到发票后，需在对应付款计划中完成登记，填写发票信息并上传附件；系统自动对发票号码进行查重（与历史开票、收票、报销发票比对），发现重复发票将提示用户并禁止保存；完成后自动更新付款计划的开票状态。</w:t>
            </w:r>
          </w:p>
        </w:tc>
        <w:tc>
          <w:tcPr>
            <w:tcW w:w="709" w:type="dxa"/>
            <w:vMerge w:val="continue"/>
            <w:noWrap w:val="0"/>
            <w:vAlign w:val="center"/>
          </w:tcPr>
          <w:p w14:paraId="183EECB3">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803" w:type="dxa"/>
            <w:vMerge w:val="continue"/>
            <w:noWrap w:val="0"/>
            <w:vAlign w:val="center"/>
          </w:tcPr>
          <w:p w14:paraId="5B03F235">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r>
      <w:tr w14:paraId="77ABD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556" w:type="dxa"/>
            <w:noWrap w:val="0"/>
            <w:vAlign w:val="center"/>
          </w:tcPr>
          <w:p w14:paraId="49842A01">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56</w:t>
            </w:r>
          </w:p>
        </w:tc>
        <w:tc>
          <w:tcPr>
            <w:tcW w:w="836" w:type="dxa"/>
            <w:vMerge w:val="continue"/>
            <w:noWrap w:val="0"/>
            <w:vAlign w:val="center"/>
          </w:tcPr>
          <w:p w14:paraId="7426951C">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1303" w:type="dxa"/>
            <w:noWrap w:val="0"/>
            <w:vAlign w:val="center"/>
          </w:tcPr>
          <w:p w14:paraId="7951BB8C">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投标保证金台账</w:t>
            </w:r>
          </w:p>
        </w:tc>
        <w:tc>
          <w:tcPr>
            <w:tcW w:w="5013" w:type="dxa"/>
            <w:noWrap w:val="0"/>
            <w:vAlign w:val="center"/>
          </w:tcPr>
          <w:p w14:paraId="1C9CAD63">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投标申请通过后，系统自动生成投标保证金待缴纳数据，支持查看保证金的缴纳与收回状态，具体状态包括：待缴纳、已缴纳、部分收回、全额收回、已损失。</w:t>
            </w:r>
          </w:p>
        </w:tc>
        <w:tc>
          <w:tcPr>
            <w:tcW w:w="709" w:type="dxa"/>
            <w:vMerge w:val="continue"/>
            <w:noWrap w:val="0"/>
            <w:vAlign w:val="center"/>
          </w:tcPr>
          <w:p w14:paraId="036BFF3D">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803" w:type="dxa"/>
            <w:vMerge w:val="continue"/>
            <w:noWrap w:val="0"/>
            <w:vAlign w:val="center"/>
          </w:tcPr>
          <w:p w14:paraId="3E69C0D3">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r>
      <w:tr w14:paraId="1740F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556" w:type="dxa"/>
            <w:noWrap w:val="0"/>
            <w:vAlign w:val="center"/>
          </w:tcPr>
          <w:p w14:paraId="6D87BF15">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57</w:t>
            </w:r>
          </w:p>
        </w:tc>
        <w:tc>
          <w:tcPr>
            <w:tcW w:w="836" w:type="dxa"/>
            <w:vMerge w:val="continue"/>
            <w:noWrap w:val="0"/>
            <w:vAlign w:val="center"/>
          </w:tcPr>
          <w:p w14:paraId="7A810A56">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1303" w:type="dxa"/>
            <w:noWrap w:val="0"/>
            <w:vAlign w:val="center"/>
          </w:tcPr>
          <w:p w14:paraId="3F1008D4">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投标保证金缴纳登记台账</w:t>
            </w:r>
          </w:p>
        </w:tc>
        <w:tc>
          <w:tcPr>
            <w:tcW w:w="5013" w:type="dxa"/>
            <w:noWrap w:val="0"/>
            <w:vAlign w:val="center"/>
          </w:tcPr>
          <w:p w14:paraId="149B64B0">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由财务人员填写保证金缴纳登记信息。</w:t>
            </w:r>
          </w:p>
        </w:tc>
        <w:tc>
          <w:tcPr>
            <w:tcW w:w="709" w:type="dxa"/>
            <w:vMerge w:val="continue"/>
            <w:noWrap w:val="0"/>
            <w:vAlign w:val="center"/>
          </w:tcPr>
          <w:p w14:paraId="2FCF6EE5">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803" w:type="dxa"/>
            <w:vMerge w:val="continue"/>
            <w:noWrap w:val="0"/>
            <w:vAlign w:val="center"/>
          </w:tcPr>
          <w:p w14:paraId="1643BF2B">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r>
      <w:tr w14:paraId="2F85A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556" w:type="dxa"/>
            <w:noWrap w:val="0"/>
            <w:vAlign w:val="center"/>
          </w:tcPr>
          <w:p w14:paraId="5D1CD915">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58</w:t>
            </w:r>
          </w:p>
        </w:tc>
        <w:tc>
          <w:tcPr>
            <w:tcW w:w="836" w:type="dxa"/>
            <w:vMerge w:val="continue"/>
            <w:noWrap w:val="0"/>
            <w:vAlign w:val="center"/>
          </w:tcPr>
          <w:p w14:paraId="16101487">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1303" w:type="dxa"/>
            <w:noWrap w:val="0"/>
            <w:vAlign w:val="center"/>
          </w:tcPr>
          <w:p w14:paraId="6824327F">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投标保证金收回登记台账</w:t>
            </w:r>
          </w:p>
        </w:tc>
        <w:tc>
          <w:tcPr>
            <w:tcW w:w="5013" w:type="dxa"/>
            <w:noWrap w:val="0"/>
            <w:vAlign w:val="center"/>
          </w:tcPr>
          <w:p w14:paraId="368E7FF7">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招标方退还保证金时，需登记实际收回金额，支持分多次登记；若确认保证金无法收回，可将其标记为“已损失”并填写原因。</w:t>
            </w:r>
          </w:p>
        </w:tc>
        <w:tc>
          <w:tcPr>
            <w:tcW w:w="709" w:type="dxa"/>
            <w:vMerge w:val="continue"/>
            <w:noWrap w:val="0"/>
            <w:vAlign w:val="center"/>
          </w:tcPr>
          <w:p w14:paraId="53CF0320">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803" w:type="dxa"/>
            <w:vMerge w:val="continue"/>
            <w:noWrap w:val="0"/>
            <w:vAlign w:val="center"/>
          </w:tcPr>
          <w:p w14:paraId="3238AFFD">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r>
      <w:tr w14:paraId="0D2BA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trPr>
        <w:tc>
          <w:tcPr>
            <w:tcW w:w="556" w:type="dxa"/>
            <w:noWrap w:val="0"/>
            <w:vAlign w:val="center"/>
          </w:tcPr>
          <w:p w14:paraId="04695478">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59</w:t>
            </w:r>
          </w:p>
        </w:tc>
        <w:tc>
          <w:tcPr>
            <w:tcW w:w="836" w:type="dxa"/>
            <w:vMerge w:val="continue"/>
            <w:noWrap w:val="0"/>
            <w:vAlign w:val="center"/>
          </w:tcPr>
          <w:p w14:paraId="297ED8C8">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1303" w:type="dxa"/>
            <w:noWrap w:val="0"/>
            <w:vAlign w:val="center"/>
          </w:tcPr>
          <w:p w14:paraId="0CE7AF58">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履约保证金（支出/收回）</w:t>
            </w:r>
          </w:p>
        </w:tc>
        <w:tc>
          <w:tcPr>
            <w:tcW w:w="5013" w:type="dxa"/>
            <w:noWrap w:val="0"/>
            <w:vAlign w:val="center"/>
          </w:tcPr>
          <w:p w14:paraId="03ABFA53">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用于记录我方向客户（业主）支付的履约保证金及其后续收回情况；当对应合同最后一张发票开出后，系统按照预计退还时间向财务人员发送提醒；保证金状态分为：已缴纳、部分收回、全额收回、已损失。</w:t>
            </w:r>
          </w:p>
        </w:tc>
        <w:tc>
          <w:tcPr>
            <w:tcW w:w="709" w:type="dxa"/>
            <w:vMerge w:val="continue"/>
            <w:noWrap w:val="0"/>
            <w:vAlign w:val="center"/>
          </w:tcPr>
          <w:p w14:paraId="1E134C0A">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803" w:type="dxa"/>
            <w:vMerge w:val="continue"/>
            <w:noWrap w:val="0"/>
            <w:vAlign w:val="center"/>
          </w:tcPr>
          <w:p w14:paraId="23FB46D5">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r>
      <w:tr w14:paraId="56AC6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trPr>
        <w:tc>
          <w:tcPr>
            <w:tcW w:w="556" w:type="dxa"/>
            <w:noWrap w:val="0"/>
            <w:vAlign w:val="center"/>
          </w:tcPr>
          <w:p w14:paraId="09D9A0C5">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60</w:t>
            </w:r>
          </w:p>
        </w:tc>
        <w:tc>
          <w:tcPr>
            <w:tcW w:w="836" w:type="dxa"/>
            <w:vMerge w:val="continue"/>
            <w:noWrap w:val="0"/>
            <w:vAlign w:val="center"/>
          </w:tcPr>
          <w:p w14:paraId="22F2305B">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1303" w:type="dxa"/>
            <w:noWrap w:val="0"/>
            <w:vAlign w:val="center"/>
          </w:tcPr>
          <w:p w14:paraId="797F4F6C">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履约保证金（收入/退还）</w:t>
            </w:r>
          </w:p>
        </w:tc>
        <w:tc>
          <w:tcPr>
            <w:tcW w:w="5013" w:type="dxa"/>
            <w:noWrap w:val="0"/>
            <w:vAlign w:val="center"/>
          </w:tcPr>
          <w:p w14:paraId="1165F59F">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用于记录供应商向我方支付的履约保证金及其后续退还情况；收入登记与退还登记流程为业务发起→财务审核→生成付款登记，支持分多次退还；保证金状态分为：已收取、部分退还、已退还、已没收。</w:t>
            </w:r>
          </w:p>
        </w:tc>
        <w:tc>
          <w:tcPr>
            <w:tcW w:w="709" w:type="dxa"/>
            <w:vMerge w:val="continue"/>
            <w:noWrap w:val="0"/>
            <w:vAlign w:val="center"/>
          </w:tcPr>
          <w:p w14:paraId="7F193170">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803" w:type="dxa"/>
            <w:vMerge w:val="continue"/>
            <w:noWrap w:val="0"/>
            <w:vAlign w:val="center"/>
          </w:tcPr>
          <w:p w14:paraId="45C28573">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r>
      <w:tr w14:paraId="1318A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556" w:type="dxa"/>
            <w:noWrap w:val="0"/>
            <w:vAlign w:val="center"/>
          </w:tcPr>
          <w:p w14:paraId="4BA5523E">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61</w:t>
            </w:r>
          </w:p>
        </w:tc>
        <w:tc>
          <w:tcPr>
            <w:tcW w:w="836" w:type="dxa"/>
            <w:vMerge w:val="continue"/>
            <w:noWrap w:val="0"/>
            <w:vAlign w:val="center"/>
          </w:tcPr>
          <w:p w14:paraId="25423F12">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1303" w:type="dxa"/>
            <w:noWrap w:val="0"/>
            <w:vAlign w:val="center"/>
          </w:tcPr>
          <w:p w14:paraId="0A6F1BE0">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差旅报销申请</w:t>
            </w:r>
          </w:p>
        </w:tc>
        <w:tc>
          <w:tcPr>
            <w:tcW w:w="5013" w:type="dxa"/>
            <w:noWrap w:val="0"/>
            <w:vAlign w:val="center"/>
          </w:tcPr>
          <w:p w14:paraId="050B94D2">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差旅报销需关联出差申请，报销内容包含报销明细，具体为费用类型、发生日期、金额、出发到达地点、交通工具、发票、票据张数。</w:t>
            </w:r>
          </w:p>
        </w:tc>
        <w:tc>
          <w:tcPr>
            <w:tcW w:w="709" w:type="dxa"/>
            <w:vMerge w:val="continue"/>
            <w:noWrap w:val="0"/>
            <w:vAlign w:val="center"/>
          </w:tcPr>
          <w:p w14:paraId="62CBF430">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803" w:type="dxa"/>
            <w:vMerge w:val="continue"/>
            <w:noWrap w:val="0"/>
            <w:vAlign w:val="center"/>
          </w:tcPr>
          <w:p w14:paraId="701C3567">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r>
      <w:tr w14:paraId="0C367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trPr>
        <w:tc>
          <w:tcPr>
            <w:tcW w:w="556" w:type="dxa"/>
            <w:noWrap w:val="0"/>
            <w:vAlign w:val="center"/>
          </w:tcPr>
          <w:p w14:paraId="133DDE88">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62</w:t>
            </w:r>
          </w:p>
        </w:tc>
        <w:tc>
          <w:tcPr>
            <w:tcW w:w="836" w:type="dxa"/>
            <w:vMerge w:val="continue"/>
            <w:noWrap w:val="0"/>
            <w:vAlign w:val="center"/>
          </w:tcPr>
          <w:p w14:paraId="047AED27">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1303" w:type="dxa"/>
            <w:noWrap w:val="0"/>
            <w:vAlign w:val="center"/>
          </w:tcPr>
          <w:p w14:paraId="36CA3D4B">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通用报销申请</w:t>
            </w:r>
          </w:p>
        </w:tc>
        <w:tc>
          <w:tcPr>
            <w:tcW w:w="5013" w:type="dxa"/>
            <w:noWrap w:val="0"/>
            <w:vAlign w:val="center"/>
          </w:tcPr>
          <w:p w14:paraId="480D8E99">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由报销人发起报销申请，系统自动校验发票是否已完成报销或收票登记，避免重复报销；费用类型包括标书购买、标书制作、业务招待、物品购买、电费、油费、其他，分类为可维护的树形结构。</w:t>
            </w:r>
          </w:p>
        </w:tc>
        <w:tc>
          <w:tcPr>
            <w:tcW w:w="709" w:type="dxa"/>
            <w:vMerge w:val="continue"/>
            <w:noWrap w:val="0"/>
            <w:vAlign w:val="center"/>
          </w:tcPr>
          <w:p w14:paraId="1AE4EF55">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803" w:type="dxa"/>
            <w:vMerge w:val="continue"/>
            <w:noWrap w:val="0"/>
            <w:vAlign w:val="center"/>
          </w:tcPr>
          <w:p w14:paraId="0B210CED">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r>
      <w:tr w14:paraId="501BB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trPr>
        <w:tc>
          <w:tcPr>
            <w:tcW w:w="556" w:type="dxa"/>
            <w:noWrap w:val="0"/>
            <w:vAlign w:val="center"/>
          </w:tcPr>
          <w:p w14:paraId="001566F8">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63</w:t>
            </w:r>
          </w:p>
        </w:tc>
        <w:tc>
          <w:tcPr>
            <w:tcW w:w="836" w:type="dxa"/>
            <w:vMerge w:val="continue"/>
            <w:noWrap w:val="0"/>
            <w:vAlign w:val="center"/>
          </w:tcPr>
          <w:p w14:paraId="50CCE69A">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1303" w:type="dxa"/>
            <w:noWrap w:val="0"/>
            <w:vAlign w:val="center"/>
          </w:tcPr>
          <w:p w14:paraId="2A6962E1">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付款申请（综合）</w:t>
            </w:r>
          </w:p>
        </w:tc>
        <w:tc>
          <w:tcPr>
            <w:tcW w:w="5013" w:type="dxa"/>
            <w:noWrap w:val="0"/>
            <w:vAlign w:val="center"/>
          </w:tcPr>
          <w:p w14:paraId="6408A4E9">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由申请人发起付款申请，申请类型分为合同付款与一般付款两类；审批通过后，由财务部门完成向供应商的付款，并通过系统发送付款完成通知；申请单需填报付款类型（对公/对私）、收款方信息、发票情况、预算科目、紧急程度等内容。</w:t>
            </w:r>
          </w:p>
        </w:tc>
        <w:tc>
          <w:tcPr>
            <w:tcW w:w="709" w:type="dxa"/>
            <w:vMerge w:val="continue"/>
            <w:noWrap w:val="0"/>
            <w:vAlign w:val="center"/>
          </w:tcPr>
          <w:p w14:paraId="075F4AA5">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803" w:type="dxa"/>
            <w:vMerge w:val="continue"/>
            <w:noWrap w:val="0"/>
            <w:vAlign w:val="center"/>
          </w:tcPr>
          <w:p w14:paraId="756DDB6E">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r>
      <w:tr w14:paraId="7E042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556" w:type="dxa"/>
            <w:noWrap w:val="0"/>
            <w:vAlign w:val="center"/>
          </w:tcPr>
          <w:p w14:paraId="500E5BE1">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64</w:t>
            </w:r>
          </w:p>
        </w:tc>
        <w:tc>
          <w:tcPr>
            <w:tcW w:w="836" w:type="dxa"/>
            <w:vMerge w:val="continue"/>
            <w:noWrap w:val="0"/>
            <w:vAlign w:val="center"/>
          </w:tcPr>
          <w:p w14:paraId="0366210C">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1303" w:type="dxa"/>
            <w:noWrap w:val="0"/>
            <w:vAlign w:val="center"/>
          </w:tcPr>
          <w:p w14:paraId="70311E67">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费用分摊</w:t>
            </w:r>
          </w:p>
        </w:tc>
        <w:tc>
          <w:tcPr>
            <w:tcW w:w="5013" w:type="dxa"/>
            <w:noWrap w:val="0"/>
            <w:vAlign w:val="center"/>
          </w:tcPr>
          <w:p w14:paraId="77168843">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机关人员工资由财务手动完成费用分摊，经流程审核后分摊至对应项目，便于成本归集；分摊依据包括实际工时、预估工时、固定比例三类。</w:t>
            </w:r>
          </w:p>
        </w:tc>
        <w:tc>
          <w:tcPr>
            <w:tcW w:w="709" w:type="dxa"/>
            <w:vMerge w:val="continue"/>
            <w:noWrap w:val="0"/>
            <w:vAlign w:val="center"/>
          </w:tcPr>
          <w:p w14:paraId="098F7E31">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803" w:type="dxa"/>
            <w:vMerge w:val="continue"/>
            <w:noWrap w:val="0"/>
            <w:vAlign w:val="center"/>
          </w:tcPr>
          <w:p w14:paraId="56287561">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r>
      <w:tr w14:paraId="35324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556" w:type="dxa"/>
            <w:noWrap w:val="0"/>
            <w:vAlign w:val="center"/>
          </w:tcPr>
          <w:p w14:paraId="0570F044">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65</w:t>
            </w:r>
          </w:p>
        </w:tc>
        <w:tc>
          <w:tcPr>
            <w:tcW w:w="836" w:type="dxa"/>
            <w:vMerge w:val="continue"/>
            <w:noWrap w:val="0"/>
            <w:vAlign w:val="center"/>
          </w:tcPr>
          <w:p w14:paraId="6C42C1EA">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1303" w:type="dxa"/>
            <w:noWrap w:val="0"/>
            <w:vAlign w:val="center"/>
          </w:tcPr>
          <w:p w14:paraId="49558007">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差旅标准设置</w:t>
            </w:r>
          </w:p>
        </w:tc>
        <w:tc>
          <w:tcPr>
            <w:tcW w:w="5013" w:type="dxa"/>
            <w:noWrap w:val="0"/>
            <w:vAlign w:val="center"/>
          </w:tcPr>
          <w:p w14:paraId="09D03CBC">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负责维护差旅报销标准，包括不同城市等级对应的住宿费用标准及其他各类费用标准；报销时系统自动匹配标准，并对填报金额进行合规限制。</w:t>
            </w:r>
          </w:p>
        </w:tc>
        <w:tc>
          <w:tcPr>
            <w:tcW w:w="709" w:type="dxa"/>
            <w:vMerge w:val="continue"/>
            <w:noWrap w:val="0"/>
            <w:vAlign w:val="center"/>
          </w:tcPr>
          <w:p w14:paraId="0B394196">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803" w:type="dxa"/>
            <w:vMerge w:val="continue"/>
            <w:noWrap w:val="0"/>
            <w:vAlign w:val="center"/>
          </w:tcPr>
          <w:p w14:paraId="2E9D6212">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r>
      <w:tr w14:paraId="38903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556" w:type="dxa"/>
            <w:noWrap w:val="0"/>
            <w:vAlign w:val="center"/>
          </w:tcPr>
          <w:p w14:paraId="36BD3331">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66</w:t>
            </w:r>
          </w:p>
        </w:tc>
        <w:tc>
          <w:tcPr>
            <w:tcW w:w="836" w:type="dxa"/>
            <w:vMerge w:val="continue"/>
            <w:noWrap w:val="0"/>
            <w:vAlign w:val="center"/>
          </w:tcPr>
          <w:p w14:paraId="4E62822D">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1303" w:type="dxa"/>
            <w:noWrap w:val="0"/>
            <w:vAlign w:val="center"/>
          </w:tcPr>
          <w:p w14:paraId="514A495F">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开票科目</w:t>
            </w:r>
          </w:p>
        </w:tc>
        <w:tc>
          <w:tcPr>
            <w:tcW w:w="5013" w:type="dxa"/>
            <w:noWrap w:val="0"/>
            <w:vAlign w:val="center"/>
          </w:tcPr>
          <w:p w14:paraId="59D49486">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支持批量新增并维护开票科目、商品和服务分类简称、税率/征收率，相关信息供开票环节选择使用。</w:t>
            </w:r>
          </w:p>
        </w:tc>
        <w:tc>
          <w:tcPr>
            <w:tcW w:w="709" w:type="dxa"/>
            <w:vMerge w:val="continue"/>
            <w:noWrap w:val="0"/>
            <w:vAlign w:val="center"/>
          </w:tcPr>
          <w:p w14:paraId="57E0516E">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803" w:type="dxa"/>
            <w:vMerge w:val="continue"/>
            <w:noWrap w:val="0"/>
            <w:vAlign w:val="center"/>
          </w:tcPr>
          <w:p w14:paraId="3010A7AD">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r>
      <w:tr w14:paraId="49015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556" w:type="dxa"/>
            <w:noWrap w:val="0"/>
            <w:vAlign w:val="center"/>
          </w:tcPr>
          <w:p w14:paraId="652449D2">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67</w:t>
            </w:r>
          </w:p>
        </w:tc>
        <w:tc>
          <w:tcPr>
            <w:tcW w:w="836" w:type="dxa"/>
            <w:vMerge w:val="continue"/>
            <w:noWrap w:val="0"/>
            <w:vAlign w:val="center"/>
          </w:tcPr>
          <w:p w14:paraId="004CEAE9">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1303" w:type="dxa"/>
            <w:noWrap w:val="0"/>
            <w:vAlign w:val="center"/>
          </w:tcPr>
          <w:p w14:paraId="464B5E06">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凭证自动生成</w:t>
            </w:r>
          </w:p>
        </w:tc>
        <w:tc>
          <w:tcPr>
            <w:tcW w:w="5013" w:type="dxa"/>
            <w:noWrap w:val="0"/>
            <w:vAlign w:val="center"/>
          </w:tcPr>
          <w:p w14:paraId="0FA27CEC">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预留对接接口：后续满足维护费用科目对应关系，即报销费用类型对应用友科目编码；审批完成的报销单通过集成中心自动推送至用友系统，完成凭证自动生成。</w:t>
            </w:r>
          </w:p>
        </w:tc>
        <w:tc>
          <w:tcPr>
            <w:tcW w:w="709" w:type="dxa"/>
            <w:vMerge w:val="continue"/>
            <w:noWrap w:val="0"/>
            <w:vAlign w:val="center"/>
          </w:tcPr>
          <w:p w14:paraId="24F22DEA">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803" w:type="dxa"/>
            <w:vMerge w:val="continue"/>
            <w:noWrap w:val="0"/>
            <w:vAlign w:val="center"/>
          </w:tcPr>
          <w:p w14:paraId="088D028B">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r>
      <w:tr w14:paraId="19F2C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556" w:type="dxa"/>
            <w:noWrap w:val="0"/>
            <w:vAlign w:val="center"/>
          </w:tcPr>
          <w:p w14:paraId="224733C4">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68</w:t>
            </w:r>
          </w:p>
        </w:tc>
        <w:tc>
          <w:tcPr>
            <w:tcW w:w="836" w:type="dxa"/>
            <w:vMerge w:val="continue"/>
            <w:noWrap w:val="0"/>
            <w:vAlign w:val="center"/>
          </w:tcPr>
          <w:p w14:paraId="64FEE499">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1303" w:type="dxa"/>
            <w:noWrap w:val="0"/>
            <w:vAlign w:val="center"/>
          </w:tcPr>
          <w:p w14:paraId="44BA0C01">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费用类型管理</w:t>
            </w:r>
          </w:p>
        </w:tc>
        <w:tc>
          <w:tcPr>
            <w:tcW w:w="5013" w:type="dxa"/>
            <w:noWrap w:val="0"/>
            <w:vAlign w:val="center"/>
          </w:tcPr>
          <w:p w14:paraId="5F7C2DBC">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支持对各费用类型进行维护，费用类型采用树形结构设计，供费用报销环节选择使用。</w:t>
            </w:r>
          </w:p>
        </w:tc>
        <w:tc>
          <w:tcPr>
            <w:tcW w:w="709" w:type="dxa"/>
            <w:vMerge w:val="continue"/>
            <w:noWrap w:val="0"/>
            <w:vAlign w:val="center"/>
          </w:tcPr>
          <w:p w14:paraId="07A9223D">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803" w:type="dxa"/>
            <w:vMerge w:val="continue"/>
            <w:noWrap w:val="0"/>
            <w:vAlign w:val="center"/>
          </w:tcPr>
          <w:p w14:paraId="2F6DB311">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r>
      <w:tr w14:paraId="7A834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trPr>
        <w:tc>
          <w:tcPr>
            <w:tcW w:w="556" w:type="dxa"/>
            <w:noWrap w:val="0"/>
            <w:vAlign w:val="center"/>
          </w:tcPr>
          <w:p w14:paraId="5EF7DD9C">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69</w:t>
            </w:r>
          </w:p>
        </w:tc>
        <w:tc>
          <w:tcPr>
            <w:tcW w:w="836" w:type="dxa"/>
            <w:vMerge w:val="continue"/>
            <w:noWrap w:val="0"/>
            <w:vAlign w:val="center"/>
          </w:tcPr>
          <w:p w14:paraId="4EEF76BA">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1303" w:type="dxa"/>
            <w:noWrap w:val="0"/>
            <w:vAlign w:val="center"/>
          </w:tcPr>
          <w:p w14:paraId="124DB544">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预算管理</w:t>
            </w:r>
          </w:p>
        </w:tc>
        <w:tc>
          <w:tcPr>
            <w:tcW w:w="5013" w:type="dxa"/>
            <w:noWrap w:val="0"/>
            <w:vAlign w:val="center"/>
          </w:tcPr>
          <w:p w14:paraId="27551FDF">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在年度预算编制环节，系统支持生成涵盖主要业务损益、固定资产投资、股权投资、对外筹资、人工成本、成本费用、利润、现金流量、资产负债等内容的9张预算表格；预算表格填报提交后，按照既定领导审批流程完成审核批准。</w:t>
            </w:r>
          </w:p>
        </w:tc>
        <w:tc>
          <w:tcPr>
            <w:tcW w:w="709" w:type="dxa"/>
            <w:vMerge w:val="continue"/>
            <w:noWrap w:val="0"/>
            <w:vAlign w:val="center"/>
          </w:tcPr>
          <w:p w14:paraId="5BF5401C">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803" w:type="dxa"/>
            <w:vMerge w:val="continue"/>
            <w:noWrap w:val="0"/>
            <w:vAlign w:val="center"/>
          </w:tcPr>
          <w:p w14:paraId="0B40B625">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r>
      <w:tr w14:paraId="6E315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556" w:type="dxa"/>
            <w:noWrap w:val="0"/>
            <w:vAlign w:val="center"/>
          </w:tcPr>
          <w:p w14:paraId="24B0E668">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70</w:t>
            </w:r>
          </w:p>
        </w:tc>
        <w:tc>
          <w:tcPr>
            <w:tcW w:w="836" w:type="dxa"/>
            <w:vMerge w:val="restart"/>
            <w:noWrap w:val="0"/>
            <w:vAlign w:val="center"/>
          </w:tcPr>
          <w:p w14:paraId="6D121DC6">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人事管理</w:t>
            </w:r>
            <w:r>
              <w:rPr>
                <w:rFonts w:hint="eastAsia" w:ascii="宋体" w:hAnsi="宋体" w:eastAsia="宋体" w:cs="宋体"/>
                <w:b w:val="0"/>
                <w:bCs w:val="0"/>
                <w:i w:val="0"/>
                <w:iCs w:val="0"/>
                <w:color w:val="auto"/>
                <w:kern w:val="0"/>
                <w:sz w:val="24"/>
                <w:szCs w:val="24"/>
                <w:u w:val="none"/>
                <w:lang w:val="en-US" w:eastAsia="zh-CN" w:bidi="ar"/>
              </w:rPr>
              <w:t>定制</w:t>
            </w:r>
          </w:p>
        </w:tc>
        <w:tc>
          <w:tcPr>
            <w:tcW w:w="1303" w:type="dxa"/>
            <w:noWrap w:val="0"/>
            <w:vAlign w:val="center"/>
          </w:tcPr>
          <w:p w14:paraId="2F7122F6">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人员管理-入职</w:t>
            </w:r>
          </w:p>
        </w:tc>
        <w:tc>
          <w:tcPr>
            <w:tcW w:w="5013" w:type="dxa"/>
            <w:noWrap w:val="0"/>
            <w:vAlign w:val="center"/>
          </w:tcPr>
          <w:p w14:paraId="6C290A64">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机关人员入职时，由人事部门录入员工信息并开通系统账号；安保人员入职时，需录入安保人员花名册，信息包含保安员证编号、职级、工作状态等内容。</w:t>
            </w:r>
          </w:p>
        </w:tc>
        <w:tc>
          <w:tcPr>
            <w:tcW w:w="709" w:type="dxa"/>
            <w:vMerge w:val="restart"/>
            <w:noWrap/>
            <w:vAlign w:val="center"/>
          </w:tcPr>
          <w:p w14:paraId="02C409E8">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1</w:t>
            </w:r>
          </w:p>
        </w:tc>
        <w:tc>
          <w:tcPr>
            <w:tcW w:w="803" w:type="dxa"/>
            <w:vMerge w:val="restart"/>
            <w:noWrap/>
            <w:vAlign w:val="center"/>
          </w:tcPr>
          <w:p w14:paraId="1977F18A">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项</w:t>
            </w:r>
          </w:p>
        </w:tc>
      </w:tr>
      <w:tr w14:paraId="76A73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556" w:type="dxa"/>
            <w:noWrap w:val="0"/>
            <w:vAlign w:val="center"/>
          </w:tcPr>
          <w:p w14:paraId="344FAD9A">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71</w:t>
            </w:r>
          </w:p>
        </w:tc>
        <w:tc>
          <w:tcPr>
            <w:tcW w:w="836" w:type="dxa"/>
            <w:vMerge w:val="continue"/>
            <w:noWrap w:val="0"/>
            <w:vAlign w:val="center"/>
          </w:tcPr>
          <w:p w14:paraId="36B9AA09">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1303" w:type="dxa"/>
            <w:noWrap w:val="0"/>
            <w:vAlign w:val="center"/>
          </w:tcPr>
          <w:p w14:paraId="638EEE30">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人员管理-转正</w:t>
            </w:r>
          </w:p>
        </w:tc>
        <w:tc>
          <w:tcPr>
            <w:tcW w:w="5013" w:type="dxa"/>
            <w:noWrap w:val="0"/>
            <w:vAlign w:val="center"/>
          </w:tcPr>
          <w:p w14:paraId="5BE3BB05">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员工可自行发起转正申请，经审批通过后完成转正；申请内容包含试用期时长、对本岗位的理解、工作成效及后续工作规划，该流程需关联三重一大会议流程。</w:t>
            </w:r>
          </w:p>
        </w:tc>
        <w:tc>
          <w:tcPr>
            <w:tcW w:w="709" w:type="dxa"/>
            <w:vMerge w:val="continue"/>
            <w:noWrap w:val="0"/>
            <w:vAlign w:val="center"/>
          </w:tcPr>
          <w:p w14:paraId="51871115">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803" w:type="dxa"/>
            <w:vMerge w:val="continue"/>
            <w:noWrap w:val="0"/>
            <w:vAlign w:val="center"/>
          </w:tcPr>
          <w:p w14:paraId="23870577">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r>
      <w:tr w14:paraId="0D928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556" w:type="dxa"/>
            <w:noWrap w:val="0"/>
            <w:vAlign w:val="center"/>
          </w:tcPr>
          <w:p w14:paraId="662115BC">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72</w:t>
            </w:r>
          </w:p>
        </w:tc>
        <w:tc>
          <w:tcPr>
            <w:tcW w:w="836" w:type="dxa"/>
            <w:vMerge w:val="continue"/>
            <w:noWrap w:val="0"/>
            <w:vAlign w:val="center"/>
          </w:tcPr>
          <w:p w14:paraId="24571D3C">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1303" w:type="dxa"/>
            <w:noWrap w:val="0"/>
            <w:vAlign w:val="center"/>
          </w:tcPr>
          <w:p w14:paraId="7DBD601F">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人员管理-调岗</w:t>
            </w:r>
          </w:p>
        </w:tc>
        <w:tc>
          <w:tcPr>
            <w:tcW w:w="5013" w:type="dxa"/>
            <w:noWrap w:val="0"/>
            <w:vAlign w:val="center"/>
          </w:tcPr>
          <w:p w14:paraId="7A62E054">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员工可自行发起调岗申请，经流程审批通过后完成岗位变动；申请内容包含调出/调入部门及岗位、调岗原因、调岗培训相关信息。</w:t>
            </w:r>
          </w:p>
        </w:tc>
        <w:tc>
          <w:tcPr>
            <w:tcW w:w="709" w:type="dxa"/>
            <w:vMerge w:val="continue"/>
            <w:noWrap w:val="0"/>
            <w:vAlign w:val="center"/>
          </w:tcPr>
          <w:p w14:paraId="4D348FEC">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803" w:type="dxa"/>
            <w:vMerge w:val="continue"/>
            <w:noWrap w:val="0"/>
            <w:vAlign w:val="center"/>
          </w:tcPr>
          <w:p w14:paraId="1B209B8A">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r>
      <w:tr w14:paraId="415F9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556" w:type="dxa"/>
            <w:noWrap w:val="0"/>
            <w:vAlign w:val="center"/>
          </w:tcPr>
          <w:p w14:paraId="482F31ED">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73</w:t>
            </w:r>
          </w:p>
        </w:tc>
        <w:tc>
          <w:tcPr>
            <w:tcW w:w="836" w:type="dxa"/>
            <w:vMerge w:val="continue"/>
            <w:noWrap w:val="0"/>
            <w:vAlign w:val="center"/>
          </w:tcPr>
          <w:p w14:paraId="00D2AD80">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1303" w:type="dxa"/>
            <w:noWrap w:val="0"/>
            <w:vAlign w:val="center"/>
          </w:tcPr>
          <w:p w14:paraId="2A39A9A2">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人员管理-离职</w:t>
            </w:r>
          </w:p>
        </w:tc>
        <w:tc>
          <w:tcPr>
            <w:tcW w:w="5013" w:type="dxa"/>
            <w:noWrap w:val="0"/>
            <w:vAlign w:val="center"/>
          </w:tcPr>
          <w:p w14:paraId="20C0E814">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员工可自行发起离职申请，经审批通过后，员工系统状态将变更为离职；需填报离职原因（包含固定承诺文字）、离职生效日期、工作与物资交接情况。</w:t>
            </w:r>
          </w:p>
        </w:tc>
        <w:tc>
          <w:tcPr>
            <w:tcW w:w="709" w:type="dxa"/>
            <w:vMerge w:val="continue"/>
            <w:noWrap w:val="0"/>
            <w:vAlign w:val="center"/>
          </w:tcPr>
          <w:p w14:paraId="4C0612AA">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803" w:type="dxa"/>
            <w:vMerge w:val="continue"/>
            <w:noWrap w:val="0"/>
            <w:vAlign w:val="center"/>
          </w:tcPr>
          <w:p w14:paraId="2A6EF667">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r>
      <w:tr w14:paraId="52CF7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556" w:type="dxa"/>
            <w:noWrap w:val="0"/>
            <w:vAlign w:val="center"/>
          </w:tcPr>
          <w:p w14:paraId="02847254">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74</w:t>
            </w:r>
          </w:p>
        </w:tc>
        <w:tc>
          <w:tcPr>
            <w:tcW w:w="836" w:type="dxa"/>
            <w:vMerge w:val="continue"/>
            <w:noWrap w:val="0"/>
            <w:vAlign w:val="center"/>
          </w:tcPr>
          <w:p w14:paraId="5B225A1D">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1303" w:type="dxa"/>
            <w:noWrap w:val="0"/>
            <w:vAlign w:val="center"/>
          </w:tcPr>
          <w:p w14:paraId="5F749009">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劳动合同管理</w:t>
            </w:r>
          </w:p>
        </w:tc>
        <w:tc>
          <w:tcPr>
            <w:tcW w:w="5013" w:type="dxa"/>
            <w:noWrap w:val="0"/>
            <w:vAlign w:val="center"/>
          </w:tcPr>
          <w:p w14:paraId="5D8C7FEC">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填写并上传人员劳动合同信息，支持查看、下载合同附件；需录入合同签订日期、合同开始日期、合同结束日期，并上传合同附件。</w:t>
            </w:r>
          </w:p>
        </w:tc>
        <w:tc>
          <w:tcPr>
            <w:tcW w:w="709" w:type="dxa"/>
            <w:vMerge w:val="continue"/>
            <w:noWrap w:val="0"/>
            <w:vAlign w:val="center"/>
          </w:tcPr>
          <w:p w14:paraId="56B551C5">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803" w:type="dxa"/>
            <w:vMerge w:val="continue"/>
            <w:noWrap w:val="0"/>
            <w:vAlign w:val="center"/>
          </w:tcPr>
          <w:p w14:paraId="4EEE2C95">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r>
      <w:tr w14:paraId="3B609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trPr>
        <w:tc>
          <w:tcPr>
            <w:tcW w:w="556" w:type="dxa"/>
            <w:noWrap w:val="0"/>
            <w:vAlign w:val="center"/>
          </w:tcPr>
          <w:p w14:paraId="70889E08">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75</w:t>
            </w:r>
          </w:p>
        </w:tc>
        <w:tc>
          <w:tcPr>
            <w:tcW w:w="836" w:type="dxa"/>
            <w:vMerge w:val="continue"/>
            <w:noWrap w:val="0"/>
            <w:vAlign w:val="center"/>
          </w:tcPr>
          <w:p w14:paraId="298D9A85">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1303" w:type="dxa"/>
            <w:noWrap w:val="0"/>
            <w:vAlign w:val="center"/>
          </w:tcPr>
          <w:p w14:paraId="34D6433D">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假勤管理-考勤</w:t>
            </w:r>
          </w:p>
        </w:tc>
        <w:tc>
          <w:tcPr>
            <w:tcW w:w="5013" w:type="dxa"/>
            <w:noWrap w:val="0"/>
            <w:vAlign w:val="center"/>
          </w:tcPr>
          <w:p w14:paraId="70B290BC">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支持移动端GPS定位打卡；可按部门、岗位或人员配置上下班时间、打卡地点，并设置是否参与考勤，如门卫岗位可设置为不参与考勤；员工外出或出差经审批通过后，可在目的地通过定位打卡作为到达凭证。</w:t>
            </w:r>
          </w:p>
        </w:tc>
        <w:tc>
          <w:tcPr>
            <w:tcW w:w="709" w:type="dxa"/>
            <w:vMerge w:val="continue"/>
            <w:noWrap w:val="0"/>
            <w:vAlign w:val="center"/>
          </w:tcPr>
          <w:p w14:paraId="6CF6B01A">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803" w:type="dxa"/>
            <w:vMerge w:val="continue"/>
            <w:noWrap w:val="0"/>
            <w:vAlign w:val="center"/>
          </w:tcPr>
          <w:p w14:paraId="2C9E7EA1">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r>
      <w:tr w14:paraId="6E3F7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556" w:type="dxa"/>
            <w:noWrap w:val="0"/>
            <w:vAlign w:val="center"/>
          </w:tcPr>
          <w:p w14:paraId="6EE918DB">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76</w:t>
            </w:r>
          </w:p>
        </w:tc>
        <w:tc>
          <w:tcPr>
            <w:tcW w:w="836" w:type="dxa"/>
            <w:vMerge w:val="continue"/>
            <w:noWrap w:val="0"/>
            <w:vAlign w:val="center"/>
          </w:tcPr>
          <w:p w14:paraId="5F266054">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1303" w:type="dxa"/>
            <w:noWrap w:val="0"/>
            <w:vAlign w:val="center"/>
          </w:tcPr>
          <w:p w14:paraId="70886305">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假勤管理-补卡</w:t>
            </w:r>
          </w:p>
        </w:tc>
        <w:tc>
          <w:tcPr>
            <w:tcW w:w="5013" w:type="dxa"/>
            <w:noWrap w:val="0"/>
            <w:vAlign w:val="center"/>
          </w:tcPr>
          <w:p w14:paraId="2D95E12C">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考勤异常时，经办人可发起补卡申请，每人每月限3次，申请须经所在部门审批；申请需填报补卡时间、补卡事由，并上传相关佐证材料。</w:t>
            </w:r>
          </w:p>
        </w:tc>
        <w:tc>
          <w:tcPr>
            <w:tcW w:w="709" w:type="dxa"/>
            <w:vMerge w:val="continue"/>
            <w:noWrap w:val="0"/>
            <w:vAlign w:val="center"/>
          </w:tcPr>
          <w:p w14:paraId="3DD1DC05">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803" w:type="dxa"/>
            <w:vMerge w:val="continue"/>
            <w:noWrap w:val="0"/>
            <w:vAlign w:val="center"/>
          </w:tcPr>
          <w:p w14:paraId="5B66197C">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r>
      <w:tr w14:paraId="5EA55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556" w:type="dxa"/>
            <w:noWrap w:val="0"/>
            <w:vAlign w:val="center"/>
          </w:tcPr>
          <w:p w14:paraId="3084C23D">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77</w:t>
            </w:r>
          </w:p>
        </w:tc>
        <w:tc>
          <w:tcPr>
            <w:tcW w:w="836" w:type="dxa"/>
            <w:vMerge w:val="continue"/>
            <w:noWrap w:val="0"/>
            <w:vAlign w:val="center"/>
          </w:tcPr>
          <w:p w14:paraId="6EF570F1">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1303" w:type="dxa"/>
            <w:noWrap w:val="0"/>
            <w:vAlign w:val="center"/>
          </w:tcPr>
          <w:p w14:paraId="353096A8">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假勤管理-假期/请假</w:t>
            </w:r>
          </w:p>
        </w:tc>
        <w:tc>
          <w:tcPr>
            <w:tcW w:w="5013" w:type="dxa"/>
            <w:noWrap w:val="0"/>
            <w:vAlign w:val="center"/>
          </w:tcPr>
          <w:p w14:paraId="112876C3">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支持对病假、事假、年假、婚假等各类假期进行维护管理；对设置额度的请假类型，系统自动扣减剩余假期额度。</w:t>
            </w:r>
          </w:p>
        </w:tc>
        <w:tc>
          <w:tcPr>
            <w:tcW w:w="709" w:type="dxa"/>
            <w:vMerge w:val="continue"/>
            <w:noWrap w:val="0"/>
            <w:vAlign w:val="center"/>
          </w:tcPr>
          <w:p w14:paraId="64AC3983">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803" w:type="dxa"/>
            <w:vMerge w:val="continue"/>
            <w:noWrap w:val="0"/>
            <w:vAlign w:val="center"/>
          </w:tcPr>
          <w:p w14:paraId="435A9E8C">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r>
      <w:tr w14:paraId="54831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trPr>
        <w:tc>
          <w:tcPr>
            <w:tcW w:w="556" w:type="dxa"/>
            <w:noWrap w:val="0"/>
            <w:vAlign w:val="center"/>
          </w:tcPr>
          <w:p w14:paraId="4FA5F6DB">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78</w:t>
            </w:r>
          </w:p>
        </w:tc>
        <w:tc>
          <w:tcPr>
            <w:tcW w:w="836" w:type="dxa"/>
            <w:vMerge w:val="continue"/>
            <w:noWrap w:val="0"/>
            <w:vAlign w:val="center"/>
          </w:tcPr>
          <w:p w14:paraId="1678973E">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1303" w:type="dxa"/>
            <w:noWrap w:val="0"/>
            <w:vAlign w:val="center"/>
          </w:tcPr>
          <w:p w14:paraId="4E91D337">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假勤管理-出差/外出</w:t>
            </w:r>
          </w:p>
        </w:tc>
        <w:tc>
          <w:tcPr>
            <w:tcW w:w="5013" w:type="dxa"/>
            <w:noWrap w:val="0"/>
            <w:vAlign w:val="center"/>
          </w:tcPr>
          <w:p w14:paraId="2D30D9FF">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出差申请须关联对应项目，经审批通过后可直接关联差旅报销单，报销环节无需重复填报相关信息；外出申请须标注外出类型，可选类型包括公务、私事、拜访客户、外勤执勤及其他。</w:t>
            </w:r>
          </w:p>
        </w:tc>
        <w:tc>
          <w:tcPr>
            <w:tcW w:w="709" w:type="dxa"/>
            <w:vMerge w:val="continue"/>
            <w:noWrap w:val="0"/>
            <w:vAlign w:val="center"/>
          </w:tcPr>
          <w:p w14:paraId="62493327">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803" w:type="dxa"/>
            <w:vMerge w:val="continue"/>
            <w:noWrap w:val="0"/>
            <w:vAlign w:val="center"/>
          </w:tcPr>
          <w:p w14:paraId="4B0C326F">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r>
      <w:tr w14:paraId="451B7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556" w:type="dxa"/>
            <w:noWrap w:val="0"/>
            <w:vAlign w:val="center"/>
          </w:tcPr>
          <w:p w14:paraId="725F5881">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79</w:t>
            </w:r>
          </w:p>
        </w:tc>
        <w:tc>
          <w:tcPr>
            <w:tcW w:w="836" w:type="dxa"/>
            <w:vMerge w:val="continue"/>
            <w:noWrap w:val="0"/>
            <w:vAlign w:val="center"/>
          </w:tcPr>
          <w:p w14:paraId="190226EE">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1303" w:type="dxa"/>
            <w:noWrap w:val="0"/>
            <w:vAlign w:val="center"/>
          </w:tcPr>
          <w:p w14:paraId="4A64316A">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假勤管理-考勤报表</w:t>
            </w:r>
          </w:p>
        </w:tc>
        <w:tc>
          <w:tcPr>
            <w:tcW w:w="5013" w:type="dxa"/>
            <w:noWrap w:val="0"/>
            <w:vAlign w:val="center"/>
          </w:tcPr>
          <w:p w14:paraId="430A86E0">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支持导出月度、季度考勤汇总表。</w:t>
            </w:r>
          </w:p>
        </w:tc>
        <w:tc>
          <w:tcPr>
            <w:tcW w:w="709" w:type="dxa"/>
            <w:vMerge w:val="continue"/>
            <w:noWrap w:val="0"/>
            <w:vAlign w:val="center"/>
          </w:tcPr>
          <w:p w14:paraId="67F4814C">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803" w:type="dxa"/>
            <w:vMerge w:val="continue"/>
            <w:noWrap w:val="0"/>
            <w:vAlign w:val="center"/>
          </w:tcPr>
          <w:p w14:paraId="586ED589">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r>
      <w:tr w14:paraId="548F0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0" w:hRule="atLeast"/>
        </w:trPr>
        <w:tc>
          <w:tcPr>
            <w:tcW w:w="556" w:type="dxa"/>
            <w:noWrap w:val="0"/>
            <w:vAlign w:val="center"/>
          </w:tcPr>
          <w:p w14:paraId="6616415B">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80</w:t>
            </w:r>
          </w:p>
        </w:tc>
        <w:tc>
          <w:tcPr>
            <w:tcW w:w="836" w:type="dxa"/>
            <w:vMerge w:val="continue"/>
            <w:noWrap w:val="0"/>
            <w:vAlign w:val="center"/>
          </w:tcPr>
          <w:p w14:paraId="6451F11B">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1303" w:type="dxa"/>
            <w:noWrap w:val="0"/>
            <w:vAlign w:val="center"/>
          </w:tcPr>
          <w:p w14:paraId="6BBA8DDB">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薪酬管理</w:t>
            </w:r>
          </w:p>
        </w:tc>
        <w:tc>
          <w:tcPr>
            <w:tcW w:w="5013" w:type="dxa"/>
            <w:noWrap w:val="0"/>
            <w:vAlign w:val="center"/>
          </w:tcPr>
          <w:p w14:paraId="5196016C">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工资单支持在线填报或批量导入；机关人员工资分为领导班子工资、在编人员工资、非在编人员工资，三类工资由人事部门通过Excel上传；安保人员工资按项目拆分上传，实现项目人力成本归集（项目成本使用“月应付工资”）；系统自动向机关人员移动端推送电子工资条。</w:t>
            </w:r>
          </w:p>
        </w:tc>
        <w:tc>
          <w:tcPr>
            <w:tcW w:w="709" w:type="dxa"/>
            <w:vMerge w:val="continue"/>
            <w:noWrap w:val="0"/>
            <w:vAlign w:val="center"/>
          </w:tcPr>
          <w:p w14:paraId="73349026">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803" w:type="dxa"/>
            <w:vMerge w:val="continue"/>
            <w:noWrap w:val="0"/>
            <w:vAlign w:val="center"/>
          </w:tcPr>
          <w:p w14:paraId="4FC68F65">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r>
      <w:tr w14:paraId="7919F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0" w:hRule="atLeast"/>
        </w:trPr>
        <w:tc>
          <w:tcPr>
            <w:tcW w:w="556" w:type="dxa"/>
            <w:noWrap w:val="0"/>
            <w:vAlign w:val="center"/>
          </w:tcPr>
          <w:p w14:paraId="6741E37A">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81</w:t>
            </w:r>
          </w:p>
        </w:tc>
        <w:tc>
          <w:tcPr>
            <w:tcW w:w="836" w:type="dxa"/>
            <w:vMerge w:val="continue"/>
            <w:noWrap w:val="0"/>
            <w:vAlign w:val="center"/>
          </w:tcPr>
          <w:p w14:paraId="44F05665">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1303" w:type="dxa"/>
            <w:noWrap w:val="0"/>
            <w:vAlign w:val="center"/>
          </w:tcPr>
          <w:p w14:paraId="60D768C6">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绩效考核-员工考核</w:t>
            </w:r>
          </w:p>
        </w:tc>
        <w:tc>
          <w:tcPr>
            <w:tcW w:w="5013" w:type="dxa"/>
            <w:noWrap w:val="0"/>
            <w:vAlign w:val="center"/>
          </w:tcPr>
          <w:p w14:paraId="174B7964">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指标建立可通过线上填写或模板导入两种方式完成，由员工在季度初发起申报，经审核后确定最终指标，支持复用以往周期的指标模板；考核流程为：季度末由员工发起自评，再由部门负责人开展评价，评价完成后考核流程终结；考核结果由四部分构成，其中部门季度绩效占比40%、个人专项绩效占比50%、个人行为态度占比10%，另设置否决性指标。</w:t>
            </w:r>
          </w:p>
        </w:tc>
        <w:tc>
          <w:tcPr>
            <w:tcW w:w="709" w:type="dxa"/>
            <w:vMerge w:val="continue"/>
            <w:noWrap w:val="0"/>
            <w:vAlign w:val="center"/>
          </w:tcPr>
          <w:p w14:paraId="008286AF">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803" w:type="dxa"/>
            <w:vMerge w:val="continue"/>
            <w:noWrap w:val="0"/>
            <w:vAlign w:val="center"/>
          </w:tcPr>
          <w:p w14:paraId="017DB1BC">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r>
      <w:tr w14:paraId="54A2B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trPr>
        <w:tc>
          <w:tcPr>
            <w:tcW w:w="556" w:type="dxa"/>
            <w:noWrap w:val="0"/>
            <w:vAlign w:val="center"/>
          </w:tcPr>
          <w:p w14:paraId="6E4D5026">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82</w:t>
            </w:r>
          </w:p>
        </w:tc>
        <w:tc>
          <w:tcPr>
            <w:tcW w:w="836" w:type="dxa"/>
            <w:vMerge w:val="continue"/>
            <w:noWrap w:val="0"/>
            <w:vAlign w:val="center"/>
          </w:tcPr>
          <w:p w14:paraId="6156C638">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1303" w:type="dxa"/>
            <w:noWrap w:val="0"/>
            <w:vAlign w:val="center"/>
          </w:tcPr>
          <w:p w14:paraId="3028AC29">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绩效考核-部门考核</w:t>
            </w:r>
          </w:p>
        </w:tc>
        <w:tc>
          <w:tcPr>
            <w:tcW w:w="5013" w:type="dxa"/>
            <w:noWrap w:val="0"/>
            <w:vAlign w:val="center"/>
          </w:tcPr>
          <w:p w14:paraId="1CA2E90E">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季度初由部门负责人发起指标模板建立；季度末由部门负责人完成自评后，提交上级领导评分；考核结果由部门季度专项绩效（占比80%）、部门综合评议（占比20%）、加分项及否决性指标构成。</w:t>
            </w:r>
          </w:p>
        </w:tc>
        <w:tc>
          <w:tcPr>
            <w:tcW w:w="709" w:type="dxa"/>
            <w:vMerge w:val="continue"/>
            <w:noWrap w:val="0"/>
            <w:vAlign w:val="center"/>
          </w:tcPr>
          <w:p w14:paraId="106B2749">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803" w:type="dxa"/>
            <w:vMerge w:val="continue"/>
            <w:noWrap w:val="0"/>
            <w:vAlign w:val="center"/>
          </w:tcPr>
          <w:p w14:paraId="3B650BF5">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r>
      <w:tr w14:paraId="10C7C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0" w:hRule="atLeast"/>
        </w:trPr>
        <w:tc>
          <w:tcPr>
            <w:tcW w:w="556" w:type="dxa"/>
            <w:noWrap w:val="0"/>
            <w:vAlign w:val="center"/>
          </w:tcPr>
          <w:p w14:paraId="1EC5D062">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83</w:t>
            </w:r>
          </w:p>
        </w:tc>
        <w:tc>
          <w:tcPr>
            <w:tcW w:w="836" w:type="dxa"/>
            <w:vMerge w:val="restart"/>
            <w:noWrap w:val="0"/>
            <w:vAlign w:val="center"/>
          </w:tcPr>
          <w:p w14:paraId="42A2C1B4">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综合管理</w:t>
            </w:r>
            <w:r>
              <w:rPr>
                <w:rFonts w:hint="eastAsia" w:ascii="宋体" w:hAnsi="宋体" w:eastAsia="宋体" w:cs="宋体"/>
                <w:b w:val="0"/>
                <w:bCs w:val="0"/>
                <w:i w:val="0"/>
                <w:iCs w:val="0"/>
                <w:color w:val="auto"/>
                <w:kern w:val="0"/>
                <w:sz w:val="24"/>
                <w:szCs w:val="24"/>
                <w:u w:val="none"/>
                <w:lang w:val="en-US" w:eastAsia="zh-CN" w:bidi="ar"/>
              </w:rPr>
              <w:t>定制</w:t>
            </w:r>
          </w:p>
        </w:tc>
        <w:tc>
          <w:tcPr>
            <w:tcW w:w="1303" w:type="dxa"/>
            <w:noWrap w:val="0"/>
            <w:vAlign w:val="center"/>
          </w:tcPr>
          <w:p w14:paraId="5834D361">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kern w:val="2"/>
                <w:sz w:val="24"/>
                <w:szCs w:val="24"/>
              </w:rPr>
              <w:t>▲</w:t>
            </w:r>
            <w:r>
              <w:rPr>
                <w:rFonts w:hint="eastAsia" w:ascii="宋体" w:hAnsi="宋体" w:cs="宋体"/>
                <w:b w:val="0"/>
                <w:bCs w:val="0"/>
                <w:color w:val="auto"/>
                <w:sz w:val="24"/>
                <w:szCs w:val="24"/>
              </w:rPr>
              <w:t>知识库管理</w:t>
            </w:r>
          </w:p>
        </w:tc>
        <w:tc>
          <w:tcPr>
            <w:tcW w:w="5013" w:type="dxa"/>
            <w:noWrap w:val="0"/>
            <w:vAlign w:val="center"/>
          </w:tcPr>
          <w:p w14:paraId="3789DFDB">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建立企业级知识库，用于存储制度、政策、操作手册及培训资料；支持自定义目录树实现多级目录分类；支持多种格式文档的上传、下载与在线预览；可按角色及部门配置访问权限；提供全文检索功能；每上传一份制度文件，系统将向所有人员发送消息通知。</w:t>
            </w:r>
          </w:p>
        </w:tc>
        <w:tc>
          <w:tcPr>
            <w:tcW w:w="709" w:type="dxa"/>
            <w:vMerge w:val="restart"/>
            <w:noWrap/>
            <w:vAlign w:val="center"/>
          </w:tcPr>
          <w:p w14:paraId="150CCEDD">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1</w:t>
            </w:r>
          </w:p>
        </w:tc>
        <w:tc>
          <w:tcPr>
            <w:tcW w:w="803" w:type="dxa"/>
            <w:vMerge w:val="restart"/>
            <w:noWrap/>
            <w:vAlign w:val="center"/>
          </w:tcPr>
          <w:p w14:paraId="6D19A7C1">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项</w:t>
            </w:r>
          </w:p>
        </w:tc>
      </w:tr>
      <w:tr w14:paraId="3EBC8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trPr>
        <w:tc>
          <w:tcPr>
            <w:tcW w:w="556" w:type="dxa"/>
            <w:noWrap w:val="0"/>
            <w:vAlign w:val="center"/>
          </w:tcPr>
          <w:p w14:paraId="4DF80EE6">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84</w:t>
            </w:r>
          </w:p>
        </w:tc>
        <w:tc>
          <w:tcPr>
            <w:tcW w:w="836" w:type="dxa"/>
            <w:vMerge w:val="continue"/>
            <w:noWrap w:val="0"/>
            <w:vAlign w:val="center"/>
          </w:tcPr>
          <w:p w14:paraId="6E582AB5">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1303" w:type="dxa"/>
            <w:noWrap w:val="0"/>
            <w:vAlign w:val="center"/>
          </w:tcPr>
          <w:p w14:paraId="208258F7">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公文管理-发文拟稿</w:t>
            </w:r>
          </w:p>
        </w:tc>
        <w:tc>
          <w:tcPr>
            <w:tcW w:w="5013" w:type="dxa"/>
            <w:noWrap w:val="0"/>
            <w:vAlign w:val="center"/>
          </w:tcPr>
          <w:p w14:paraId="233DF0E4">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拟稿人需填写发文表单并上传附件（支持PDF/Word格式），表单涵盖发文字号、发文类型（通知/决定/通报/报告/函）、合法性审查、文件形式、用印情况、主送单位及抄送单位等信息。</w:t>
            </w:r>
          </w:p>
        </w:tc>
        <w:tc>
          <w:tcPr>
            <w:tcW w:w="709" w:type="dxa"/>
            <w:vMerge w:val="continue"/>
            <w:noWrap w:val="0"/>
            <w:vAlign w:val="center"/>
          </w:tcPr>
          <w:p w14:paraId="21B770BC">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803" w:type="dxa"/>
            <w:vMerge w:val="continue"/>
            <w:noWrap w:val="0"/>
            <w:vAlign w:val="center"/>
          </w:tcPr>
          <w:p w14:paraId="2B77AE6A">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r>
      <w:tr w14:paraId="34331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556" w:type="dxa"/>
            <w:noWrap w:val="0"/>
            <w:vAlign w:val="center"/>
          </w:tcPr>
          <w:p w14:paraId="67C40052">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85</w:t>
            </w:r>
          </w:p>
        </w:tc>
        <w:tc>
          <w:tcPr>
            <w:tcW w:w="836" w:type="dxa"/>
            <w:vMerge w:val="continue"/>
            <w:noWrap w:val="0"/>
            <w:vAlign w:val="center"/>
          </w:tcPr>
          <w:p w14:paraId="6E626326">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1303" w:type="dxa"/>
            <w:noWrap w:val="0"/>
            <w:vAlign w:val="center"/>
          </w:tcPr>
          <w:p w14:paraId="07CA00C1">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公文管理-来文登记</w:t>
            </w:r>
          </w:p>
        </w:tc>
        <w:tc>
          <w:tcPr>
            <w:tcW w:w="5013" w:type="dxa"/>
            <w:noWrap w:val="0"/>
            <w:vAlign w:val="center"/>
          </w:tcPr>
          <w:p w14:paraId="2A30D954">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收文人员对外来文件进行登记，系统自动生成收文编号；办公室填写拟办意见，指定承办部门、承办人后完成文件转发；流程完成后自动归档。</w:t>
            </w:r>
          </w:p>
        </w:tc>
        <w:tc>
          <w:tcPr>
            <w:tcW w:w="709" w:type="dxa"/>
            <w:vMerge w:val="continue"/>
            <w:noWrap w:val="0"/>
            <w:vAlign w:val="center"/>
          </w:tcPr>
          <w:p w14:paraId="7DD3BE4D">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803" w:type="dxa"/>
            <w:vMerge w:val="continue"/>
            <w:noWrap w:val="0"/>
            <w:vAlign w:val="center"/>
          </w:tcPr>
          <w:p w14:paraId="21806DF4">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r>
      <w:tr w14:paraId="4A8CD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0" w:hRule="atLeast"/>
        </w:trPr>
        <w:tc>
          <w:tcPr>
            <w:tcW w:w="556" w:type="dxa"/>
            <w:noWrap w:val="0"/>
            <w:vAlign w:val="center"/>
          </w:tcPr>
          <w:p w14:paraId="49F6D82D">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86</w:t>
            </w:r>
          </w:p>
        </w:tc>
        <w:tc>
          <w:tcPr>
            <w:tcW w:w="836" w:type="dxa"/>
            <w:vMerge w:val="continue"/>
            <w:noWrap w:val="0"/>
            <w:vAlign w:val="center"/>
          </w:tcPr>
          <w:p w14:paraId="4BD09881">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1303" w:type="dxa"/>
            <w:noWrap w:val="0"/>
            <w:vAlign w:val="center"/>
          </w:tcPr>
          <w:p w14:paraId="72E87F29">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车辆管理</w:t>
            </w:r>
          </w:p>
        </w:tc>
        <w:tc>
          <w:tcPr>
            <w:tcW w:w="5013" w:type="dxa"/>
            <w:noWrap w:val="0"/>
            <w:vAlign w:val="center"/>
          </w:tcPr>
          <w:p w14:paraId="2BFF0B06">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维护公司车辆台账，记录内容涵盖所属部门、车牌号码、品牌型号、座位数量、购买日期、保险到期日期、年检到期日期、行驶里程、车辆状态、车辆类型；支持展示车辆占用信息；可记录车辆维修、保险、年检相关信息；在保险到期前1个月、年检到期前1个月，系统自动发送提醒。</w:t>
            </w:r>
          </w:p>
        </w:tc>
        <w:tc>
          <w:tcPr>
            <w:tcW w:w="709" w:type="dxa"/>
            <w:vMerge w:val="continue"/>
            <w:noWrap w:val="0"/>
            <w:vAlign w:val="center"/>
          </w:tcPr>
          <w:p w14:paraId="22CF2A71">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803" w:type="dxa"/>
            <w:vMerge w:val="continue"/>
            <w:noWrap w:val="0"/>
            <w:vAlign w:val="center"/>
          </w:tcPr>
          <w:p w14:paraId="169990B4">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r>
      <w:tr w14:paraId="1A054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556" w:type="dxa"/>
            <w:noWrap w:val="0"/>
            <w:vAlign w:val="center"/>
          </w:tcPr>
          <w:p w14:paraId="7F777D43">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87</w:t>
            </w:r>
          </w:p>
        </w:tc>
        <w:tc>
          <w:tcPr>
            <w:tcW w:w="836" w:type="dxa"/>
            <w:vMerge w:val="continue"/>
            <w:noWrap w:val="0"/>
            <w:vAlign w:val="center"/>
          </w:tcPr>
          <w:p w14:paraId="3C1CDD8D">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1303" w:type="dxa"/>
            <w:noWrap w:val="0"/>
            <w:vAlign w:val="center"/>
          </w:tcPr>
          <w:p w14:paraId="69671BCA">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用车申请</w:t>
            </w:r>
          </w:p>
        </w:tc>
        <w:tc>
          <w:tcPr>
            <w:tcW w:w="5013" w:type="dxa"/>
            <w:noWrap w:val="0"/>
            <w:vAlign w:val="center"/>
          </w:tcPr>
          <w:p w14:paraId="5C33946D">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员工需填写用车申请；若非申请人本人驾驶，由管理员指派公司驾驶员；驾驶员需反馈车辆实际出库与回库时间，由车管人员完成信息记录；最终生成用车记录台账。</w:t>
            </w:r>
          </w:p>
        </w:tc>
        <w:tc>
          <w:tcPr>
            <w:tcW w:w="709" w:type="dxa"/>
            <w:vMerge w:val="continue"/>
            <w:noWrap w:val="0"/>
            <w:vAlign w:val="center"/>
          </w:tcPr>
          <w:p w14:paraId="4B6656E3">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803" w:type="dxa"/>
            <w:vMerge w:val="continue"/>
            <w:noWrap w:val="0"/>
            <w:vAlign w:val="center"/>
          </w:tcPr>
          <w:p w14:paraId="0ADF4BA2">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r>
      <w:tr w14:paraId="3F91C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0" w:hRule="atLeast"/>
        </w:trPr>
        <w:tc>
          <w:tcPr>
            <w:tcW w:w="556" w:type="dxa"/>
            <w:noWrap w:val="0"/>
            <w:vAlign w:val="center"/>
          </w:tcPr>
          <w:p w14:paraId="7E64D528">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88</w:t>
            </w:r>
          </w:p>
        </w:tc>
        <w:tc>
          <w:tcPr>
            <w:tcW w:w="836" w:type="dxa"/>
            <w:vMerge w:val="continue"/>
            <w:noWrap w:val="0"/>
            <w:vAlign w:val="center"/>
          </w:tcPr>
          <w:p w14:paraId="196EFCD4">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1303" w:type="dxa"/>
            <w:noWrap w:val="0"/>
            <w:vAlign w:val="center"/>
          </w:tcPr>
          <w:p w14:paraId="14ABBC8F">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油卡管理</w:t>
            </w:r>
          </w:p>
        </w:tc>
        <w:tc>
          <w:tcPr>
            <w:tcW w:w="5013" w:type="dxa"/>
            <w:noWrap w:val="0"/>
            <w:vAlign w:val="center"/>
          </w:tcPr>
          <w:p w14:paraId="05B1AD0C">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对公司油卡信息进行登记，内容包括油卡编号、油卡类型，并支持余额自动扣减；记录充值记录，完成充值后自动更新油卡余额；支持查看油卡使用记录明细；提供油卡使用（领用加油）申请功能，加油完成后由申请人上传小票，回填实际加油量、行驶里程与加油金额，最终按使用人所在部门完成成本归集。</w:t>
            </w:r>
          </w:p>
        </w:tc>
        <w:tc>
          <w:tcPr>
            <w:tcW w:w="709" w:type="dxa"/>
            <w:vMerge w:val="continue"/>
            <w:noWrap w:val="0"/>
            <w:vAlign w:val="center"/>
          </w:tcPr>
          <w:p w14:paraId="0BF5A789">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803" w:type="dxa"/>
            <w:vMerge w:val="continue"/>
            <w:noWrap w:val="0"/>
            <w:vAlign w:val="center"/>
          </w:tcPr>
          <w:p w14:paraId="57BBF9AA">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r>
      <w:tr w14:paraId="157C9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556" w:type="dxa"/>
            <w:noWrap w:val="0"/>
            <w:vAlign w:val="center"/>
          </w:tcPr>
          <w:p w14:paraId="3D1F1033">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89</w:t>
            </w:r>
          </w:p>
        </w:tc>
        <w:tc>
          <w:tcPr>
            <w:tcW w:w="836" w:type="dxa"/>
            <w:vMerge w:val="continue"/>
            <w:noWrap w:val="0"/>
            <w:vAlign w:val="center"/>
          </w:tcPr>
          <w:p w14:paraId="37D45BB1">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1303" w:type="dxa"/>
            <w:noWrap w:val="0"/>
            <w:vAlign w:val="center"/>
          </w:tcPr>
          <w:p w14:paraId="470643C5">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出差申请</w:t>
            </w:r>
          </w:p>
        </w:tc>
        <w:tc>
          <w:tcPr>
            <w:tcW w:w="5013" w:type="dxa"/>
            <w:noWrap w:val="0"/>
            <w:vAlign w:val="center"/>
          </w:tcPr>
          <w:p w14:paraId="59F6F8F2">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员工需填写出差申请单，申请必须关联对应项目；审批通过后，该申请可自动关联至差旅报销单，报销环节无需重复填报相关信息。</w:t>
            </w:r>
          </w:p>
        </w:tc>
        <w:tc>
          <w:tcPr>
            <w:tcW w:w="709" w:type="dxa"/>
            <w:vMerge w:val="continue"/>
            <w:noWrap w:val="0"/>
            <w:vAlign w:val="center"/>
          </w:tcPr>
          <w:p w14:paraId="3A66F923">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803" w:type="dxa"/>
            <w:vMerge w:val="continue"/>
            <w:noWrap w:val="0"/>
            <w:vAlign w:val="center"/>
          </w:tcPr>
          <w:p w14:paraId="5B9D19AF">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r>
      <w:tr w14:paraId="27D16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0" w:hRule="atLeast"/>
        </w:trPr>
        <w:tc>
          <w:tcPr>
            <w:tcW w:w="556" w:type="dxa"/>
            <w:noWrap w:val="0"/>
            <w:vAlign w:val="center"/>
          </w:tcPr>
          <w:p w14:paraId="253BEC32">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90</w:t>
            </w:r>
          </w:p>
        </w:tc>
        <w:tc>
          <w:tcPr>
            <w:tcW w:w="836" w:type="dxa"/>
            <w:vMerge w:val="continue"/>
            <w:noWrap w:val="0"/>
            <w:vAlign w:val="center"/>
          </w:tcPr>
          <w:p w14:paraId="3A880B31">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1303" w:type="dxa"/>
            <w:noWrap w:val="0"/>
            <w:vAlign w:val="center"/>
          </w:tcPr>
          <w:p w14:paraId="1A2797AE">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会议室管理</w:t>
            </w:r>
          </w:p>
        </w:tc>
        <w:tc>
          <w:tcPr>
            <w:tcW w:w="5013" w:type="dxa"/>
            <w:noWrap w:val="0"/>
            <w:vAlign w:val="center"/>
          </w:tcPr>
          <w:p w14:paraId="6954C137">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需维护会议室基础信息，涵盖名称、编号、位置、容纳人数、使用状态等内容；提供占用日历视图，展示各时段会议室预订情况；会议使用申请提交后，系统自动检测预约时间段是否冲突；审批通过后，系统自动锁定对应预约时间段，并支持临时取消预约、释放该时段。</w:t>
            </w:r>
          </w:p>
        </w:tc>
        <w:tc>
          <w:tcPr>
            <w:tcW w:w="709" w:type="dxa"/>
            <w:vMerge w:val="continue"/>
            <w:noWrap w:val="0"/>
            <w:vAlign w:val="center"/>
          </w:tcPr>
          <w:p w14:paraId="5489DB05">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803" w:type="dxa"/>
            <w:vMerge w:val="continue"/>
            <w:noWrap w:val="0"/>
            <w:vAlign w:val="center"/>
          </w:tcPr>
          <w:p w14:paraId="1323806B">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r>
      <w:tr w14:paraId="437D6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556" w:type="dxa"/>
            <w:noWrap w:val="0"/>
            <w:vAlign w:val="center"/>
          </w:tcPr>
          <w:p w14:paraId="4E490BCD">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91</w:t>
            </w:r>
          </w:p>
        </w:tc>
        <w:tc>
          <w:tcPr>
            <w:tcW w:w="836" w:type="dxa"/>
            <w:vMerge w:val="continue"/>
            <w:noWrap w:val="0"/>
            <w:vAlign w:val="center"/>
          </w:tcPr>
          <w:p w14:paraId="5E21D33D">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1303" w:type="dxa"/>
            <w:noWrap w:val="0"/>
            <w:vAlign w:val="center"/>
          </w:tcPr>
          <w:p w14:paraId="08509F96">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采购申请（办公用品）</w:t>
            </w:r>
          </w:p>
        </w:tc>
        <w:tc>
          <w:tcPr>
            <w:tcW w:w="5013" w:type="dxa"/>
            <w:noWrap w:val="0"/>
            <w:vAlign w:val="center"/>
          </w:tcPr>
          <w:p w14:paraId="797D2014">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支持办公用品（低值易耗品）采购申请，申请单需填报物资列表（含序号、名称、型号、数量、单位）、申购原因与预计费用。</w:t>
            </w:r>
          </w:p>
        </w:tc>
        <w:tc>
          <w:tcPr>
            <w:tcW w:w="709" w:type="dxa"/>
            <w:vMerge w:val="continue"/>
            <w:noWrap w:val="0"/>
            <w:vAlign w:val="center"/>
          </w:tcPr>
          <w:p w14:paraId="5DC8A50B">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803" w:type="dxa"/>
            <w:vMerge w:val="continue"/>
            <w:noWrap w:val="0"/>
            <w:vAlign w:val="center"/>
          </w:tcPr>
          <w:p w14:paraId="06B15D00">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r>
      <w:tr w14:paraId="682D2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556" w:type="dxa"/>
            <w:noWrap w:val="0"/>
            <w:vAlign w:val="center"/>
          </w:tcPr>
          <w:p w14:paraId="453258E1">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92</w:t>
            </w:r>
          </w:p>
        </w:tc>
        <w:tc>
          <w:tcPr>
            <w:tcW w:w="836" w:type="dxa"/>
            <w:vMerge w:val="continue"/>
            <w:noWrap w:val="0"/>
            <w:vAlign w:val="center"/>
          </w:tcPr>
          <w:p w14:paraId="781E60FE">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1303" w:type="dxa"/>
            <w:noWrap w:val="0"/>
            <w:vAlign w:val="center"/>
          </w:tcPr>
          <w:p w14:paraId="146942D9">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印章管理</w:t>
            </w:r>
          </w:p>
        </w:tc>
        <w:tc>
          <w:tcPr>
            <w:tcW w:w="5013" w:type="dxa"/>
            <w:noWrap w:val="0"/>
            <w:vAlign w:val="center"/>
          </w:tcPr>
          <w:p w14:paraId="1FAC6012">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对公司印章台账进行维护，内容涵盖印章名称、印章类型、保管人员、使用范围、启用日期及使用状态，并支持上传印模图片；记录印章借用与归还情况。</w:t>
            </w:r>
          </w:p>
        </w:tc>
        <w:tc>
          <w:tcPr>
            <w:tcW w:w="709" w:type="dxa"/>
            <w:vMerge w:val="continue"/>
            <w:noWrap w:val="0"/>
            <w:vAlign w:val="center"/>
          </w:tcPr>
          <w:p w14:paraId="4734744F">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803" w:type="dxa"/>
            <w:vMerge w:val="continue"/>
            <w:noWrap w:val="0"/>
            <w:vAlign w:val="center"/>
          </w:tcPr>
          <w:p w14:paraId="1D839B31">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r>
      <w:tr w14:paraId="02F92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556" w:type="dxa"/>
            <w:noWrap w:val="0"/>
            <w:vAlign w:val="center"/>
          </w:tcPr>
          <w:p w14:paraId="433C6FBB">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93</w:t>
            </w:r>
          </w:p>
        </w:tc>
        <w:tc>
          <w:tcPr>
            <w:tcW w:w="836" w:type="dxa"/>
            <w:vMerge w:val="continue"/>
            <w:noWrap w:val="0"/>
            <w:vAlign w:val="center"/>
          </w:tcPr>
          <w:p w14:paraId="685AB4D5">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1303" w:type="dxa"/>
            <w:noWrap w:val="0"/>
            <w:vAlign w:val="center"/>
          </w:tcPr>
          <w:p w14:paraId="1D2B3F0D">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用印申请</w:t>
            </w:r>
          </w:p>
        </w:tc>
        <w:tc>
          <w:tcPr>
            <w:tcW w:w="5013" w:type="dxa"/>
            <w:noWrap w:val="0"/>
            <w:vAlign w:val="center"/>
          </w:tcPr>
          <w:p w14:paraId="5CA7E9ED">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员工需填写用印申请，经审批通过后，由印章管理员完成线下盖章操作，并记录实际用印时间与用印人信息；外带印章归还后，需由相关人员发起归还申请。</w:t>
            </w:r>
          </w:p>
        </w:tc>
        <w:tc>
          <w:tcPr>
            <w:tcW w:w="709" w:type="dxa"/>
            <w:vMerge w:val="continue"/>
            <w:noWrap w:val="0"/>
            <w:vAlign w:val="center"/>
          </w:tcPr>
          <w:p w14:paraId="207B34A4">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803" w:type="dxa"/>
            <w:vMerge w:val="continue"/>
            <w:noWrap w:val="0"/>
            <w:vAlign w:val="center"/>
          </w:tcPr>
          <w:p w14:paraId="346FD758">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r>
      <w:tr w14:paraId="1C492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0" w:hRule="atLeast"/>
        </w:trPr>
        <w:tc>
          <w:tcPr>
            <w:tcW w:w="556" w:type="dxa"/>
            <w:noWrap w:val="0"/>
            <w:vAlign w:val="center"/>
          </w:tcPr>
          <w:p w14:paraId="2A680E42">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94</w:t>
            </w:r>
          </w:p>
        </w:tc>
        <w:tc>
          <w:tcPr>
            <w:tcW w:w="836" w:type="dxa"/>
            <w:vMerge w:val="continue"/>
            <w:noWrap w:val="0"/>
            <w:vAlign w:val="center"/>
          </w:tcPr>
          <w:p w14:paraId="7358BD38">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1303" w:type="dxa"/>
            <w:noWrap w:val="0"/>
            <w:vAlign w:val="center"/>
          </w:tcPr>
          <w:p w14:paraId="300E82D6">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培训管理</w:t>
            </w:r>
          </w:p>
        </w:tc>
        <w:tc>
          <w:tcPr>
            <w:tcW w:w="5013" w:type="dxa"/>
            <w:noWrap w:val="0"/>
            <w:vAlign w:val="center"/>
          </w:tcPr>
          <w:p w14:paraId="6758ACB8">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支持在线创建或导入年度、季度、月度培训计划，系统按照计划时间提前1天向负责人发送提醒；每次培训需填报培训申请，内容涵盖培训类型、主题、培训对象、时长、地点、讲师、培训方式、培训内容、考核方式；培训实施完成后，需填写培训记录并上传培训课件、现场照片及签到表。</w:t>
            </w:r>
          </w:p>
        </w:tc>
        <w:tc>
          <w:tcPr>
            <w:tcW w:w="709" w:type="dxa"/>
            <w:vMerge w:val="continue"/>
            <w:noWrap w:val="0"/>
            <w:vAlign w:val="center"/>
          </w:tcPr>
          <w:p w14:paraId="75AF9DED">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803" w:type="dxa"/>
            <w:vMerge w:val="continue"/>
            <w:noWrap w:val="0"/>
            <w:vAlign w:val="center"/>
          </w:tcPr>
          <w:p w14:paraId="3896CB61">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r>
      <w:tr w14:paraId="57545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556" w:type="dxa"/>
            <w:noWrap w:val="0"/>
            <w:vAlign w:val="center"/>
          </w:tcPr>
          <w:p w14:paraId="142A73C2">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95</w:t>
            </w:r>
          </w:p>
        </w:tc>
        <w:tc>
          <w:tcPr>
            <w:tcW w:w="836" w:type="dxa"/>
            <w:vMerge w:val="continue"/>
            <w:noWrap w:val="0"/>
            <w:vAlign w:val="center"/>
          </w:tcPr>
          <w:p w14:paraId="7466AFB3">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1303" w:type="dxa"/>
            <w:noWrap w:val="0"/>
            <w:vAlign w:val="center"/>
          </w:tcPr>
          <w:p w14:paraId="31D2A907">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信息报送</w:t>
            </w:r>
          </w:p>
        </w:tc>
        <w:tc>
          <w:tcPr>
            <w:tcW w:w="5013" w:type="dxa"/>
            <w:noWrap w:val="0"/>
            <w:vAlign w:val="center"/>
          </w:tcPr>
          <w:p w14:paraId="3B8CD9CD">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支持向综合部或产业集团发起信息报送，报送信息需涵盖信息标题、报送对象、信息类型等内容。</w:t>
            </w:r>
          </w:p>
        </w:tc>
        <w:tc>
          <w:tcPr>
            <w:tcW w:w="709" w:type="dxa"/>
            <w:vMerge w:val="continue"/>
            <w:noWrap w:val="0"/>
            <w:vAlign w:val="center"/>
          </w:tcPr>
          <w:p w14:paraId="2CF1DC52">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803" w:type="dxa"/>
            <w:vMerge w:val="continue"/>
            <w:noWrap w:val="0"/>
            <w:vAlign w:val="center"/>
          </w:tcPr>
          <w:p w14:paraId="3EB38767">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r>
      <w:tr w14:paraId="0A48B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556" w:type="dxa"/>
            <w:noWrap w:val="0"/>
            <w:vAlign w:val="center"/>
          </w:tcPr>
          <w:p w14:paraId="6EAAC9EB">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96</w:t>
            </w:r>
          </w:p>
        </w:tc>
        <w:tc>
          <w:tcPr>
            <w:tcW w:w="836" w:type="dxa"/>
            <w:vMerge w:val="continue"/>
            <w:noWrap w:val="0"/>
            <w:vAlign w:val="center"/>
          </w:tcPr>
          <w:p w14:paraId="349AF524">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1303" w:type="dxa"/>
            <w:noWrap w:val="0"/>
            <w:vAlign w:val="center"/>
          </w:tcPr>
          <w:p w14:paraId="05B6FD7B">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信息发布（官网）申请</w:t>
            </w:r>
          </w:p>
        </w:tc>
        <w:tc>
          <w:tcPr>
            <w:tcW w:w="5013" w:type="dxa"/>
            <w:noWrap w:val="0"/>
            <w:vAlign w:val="center"/>
          </w:tcPr>
          <w:p w14:paraId="5350E678">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本功能主要用于询价场景，申请人需填写发布信息，内容涵盖板块类别、供稿类型、供稿人、供稿部门，最终由办公室信息管理员完成信息发布。</w:t>
            </w:r>
          </w:p>
        </w:tc>
        <w:tc>
          <w:tcPr>
            <w:tcW w:w="709" w:type="dxa"/>
            <w:vMerge w:val="continue"/>
            <w:noWrap w:val="0"/>
            <w:vAlign w:val="center"/>
          </w:tcPr>
          <w:p w14:paraId="78550382">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803" w:type="dxa"/>
            <w:vMerge w:val="continue"/>
            <w:noWrap w:val="0"/>
            <w:vAlign w:val="center"/>
          </w:tcPr>
          <w:p w14:paraId="592743FC">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r>
      <w:tr w14:paraId="11466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trPr>
        <w:tc>
          <w:tcPr>
            <w:tcW w:w="556" w:type="dxa"/>
            <w:noWrap w:val="0"/>
            <w:vAlign w:val="center"/>
          </w:tcPr>
          <w:p w14:paraId="5B289C41">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97</w:t>
            </w:r>
          </w:p>
        </w:tc>
        <w:tc>
          <w:tcPr>
            <w:tcW w:w="836" w:type="dxa"/>
            <w:vMerge w:val="continue"/>
            <w:noWrap w:val="0"/>
            <w:vAlign w:val="center"/>
          </w:tcPr>
          <w:p w14:paraId="37D3CFD9">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1303" w:type="dxa"/>
            <w:noWrap w:val="0"/>
            <w:vAlign w:val="center"/>
          </w:tcPr>
          <w:p w14:paraId="25E7BA89">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kern w:val="2"/>
                <w:sz w:val="24"/>
                <w:szCs w:val="24"/>
              </w:rPr>
              <w:t>▲</w:t>
            </w:r>
            <w:r>
              <w:rPr>
                <w:rFonts w:hint="eastAsia" w:ascii="宋体" w:hAnsi="宋体" w:cs="宋体"/>
                <w:b w:val="0"/>
                <w:bCs w:val="0"/>
                <w:color w:val="auto"/>
                <w:sz w:val="24"/>
                <w:szCs w:val="24"/>
              </w:rPr>
              <w:t>任务督办</w:t>
            </w:r>
          </w:p>
        </w:tc>
        <w:tc>
          <w:tcPr>
            <w:tcW w:w="5013" w:type="dxa"/>
            <w:noWrap w:val="0"/>
            <w:vAlign w:val="center"/>
          </w:tcPr>
          <w:p w14:paraId="485C69E7">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由综合办公室发起督办任务，并向承办人发送任务通知；承办人接收任务后开展办理，完成后提交办理结果，最终由发起督办任务的综合办公室确认办理结果是否符合要求；督办任务需包含任务来源、任务内容、完成时限、承接部门四项核心信息。</w:t>
            </w:r>
          </w:p>
        </w:tc>
        <w:tc>
          <w:tcPr>
            <w:tcW w:w="709" w:type="dxa"/>
            <w:vMerge w:val="continue"/>
            <w:noWrap w:val="0"/>
            <w:vAlign w:val="center"/>
          </w:tcPr>
          <w:p w14:paraId="00B8E0AA">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803" w:type="dxa"/>
            <w:vMerge w:val="continue"/>
            <w:noWrap w:val="0"/>
            <w:vAlign w:val="center"/>
          </w:tcPr>
          <w:p w14:paraId="39EFF302">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r>
      <w:tr w14:paraId="6773B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556" w:type="dxa"/>
            <w:noWrap w:val="0"/>
            <w:vAlign w:val="center"/>
          </w:tcPr>
          <w:p w14:paraId="126BA5AF">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98</w:t>
            </w:r>
          </w:p>
        </w:tc>
        <w:tc>
          <w:tcPr>
            <w:tcW w:w="836" w:type="dxa"/>
            <w:vMerge w:val="restart"/>
            <w:noWrap w:val="0"/>
            <w:vAlign w:val="center"/>
          </w:tcPr>
          <w:p w14:paraId="7F67435D">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固定资产管</w:t>
            </w:r>
            <w:r>
              <w:rPr>
                <w:rFonts w:hint="eastAsia" w:ascii="宋体" w:hAnsi="宋体" w:eastAsia="宋体" w:cs="宋体"/>
                <w:b w:val="0"/>
                <w:bCs w:val="0"/>
                <w:i w:val="0"/>
                <w:iCs w:val="0"/>
                <w:color w:val="auto"/>
                <w:kern w:val="0"/>
                <w:sz w:val="24"/>
                <w:szCs w:val="24"/>
                <w:u w:val="none"/>
                <w:lang w:val="en-US" w:eastAsia="zh-CN" w:bidi="ar"/>
              </w:rPr>
              <w:t>定制</w:t>
            </w:r>
          </w:p>
        </w:tc>
        <w:tc>
          <w:tcPr>
            <w:tcW w:w="1303" w:type="dxa"/>
            <w:noWrap w:val="0"/>
            <w:vAlign w:val="center"/>
          </w:tcPr>
          <w:p w14:paraId="47D6C920">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资产配置</w:t>
            </w:r>
          </w:p>
        </w:tc>
        <w:tc>
          <w:tcPr>
            <w:tcW w:w="5013" w:type="dxa"/>
            <w:noWrap w:val="0"/>
            <w:vAlign w:val="center"/>
          </w:tcPr>
          <w:p w14:paraId="44605554">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提供资产类型与资产计量单位的维护功能。</w:t>
            </w:r>
          </w:p>
        </w:tc>
        <w:tc>
          <w:tcPr>
            <w:tcW w:w="709" w:type="dxa"/>
            <w:vMerge w:val="restart"/>
            <w:noWrap/>
            <w:vAlign w:val="center"/>
          </w:tcPr>
          <w:p w14:paraId="29D429FD">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1</w:t>
            </w:r>
          </w:p>
        </w:tc>
        <w:tc>
          <w:tcPr>
            <w:tcW w:w="803" w:type="dxa"/>
            <w:vMerge w:val="restart"/>
            <w:noWrap/>
            <w:vAlign w:val="center"/>
          </w:tcPr>
          <w:p w14:paraId="3A896DDB">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项</w:t>
            </w:r>
          </w:p>
        </w:tc>
      </w:tr>
      <w:tr w14:paraId="0EBD2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trPr>
        <w:tc>
          <w:tcPr>
            <w:tcW w:w="556" w:type="dxa"/>
            <w:noWrap w:val="0"/>
            <w:vAlign w:val="center"/>
          </w:tcPr>
          <w:p w14:paraId="76E26249">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99</w:t>
            </w:r>
          </w:p>
        </w:tc>
        <w:tc>
          <w:tcPr>
            <w:tcW w:w="836" w:type="dxa"/>
            <w:vMerge w:val="continue"/>
            <w:noWrap w:val="0"/>
            <w:vAlign w:val="center"/>
          </w:tcPr>
          <w:p w14:paraId="2A46F457">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1303" w:type="dxa"/>
            <w:noWrap w:val="0"/>
            <w:vAlign w:val="center"/>
          </w:tcPr>
          <w:p w14:paraId="0686B3C0">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kern w:val="2"/>
                <w:sz w:val="24"/>
                <w:szCs w:val="24"/>
              </w:rPr>
              <w:t>▲</w:t>
            </w:r>
            <w:r>
              <w:rPr>
                <w:rFonts w:hint="eastAsia" w:ascii="宋体" w:hAnsi="宋体" w:cs="宋体"/>
                <w:b w:val="0"/>
                <w:bCs w:val="0"/>
                <w:color w:val="auto"/>
                <w:sz w:val="24"/>
                <w:szCs w:val="24"/>
              </w:rPr>
              <w:t>固定资产采购申请</w:t>
            </w:r>
          </w:p>
        </w:tc>
        <w:tc>
          <w:tcPr>
            <w:tcW w:w="5013" w:type="dxa"/>
            <w:noWrap w:val="0"/>
            <w:vAlign w:val="center"/>
          </w:tcPr>
          <w:p w14:paraId="0014BEC8">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所有人员均可发起固定资产采购申请，申请需填报资产名称、资产类型、规格型号、数量、单位、单价、金额小计、申请项目及项目属性；其中项目属性为内部时需进行入库管理，为外部时无需入库管理。</w:t>
            </w:r>
          </w:p>
        </w:tc>
        <w:tc>
          <w:tcPr>
            <w:tcW w:w="709" w:type="dxa"/>
            <w:vMerge w:val="continue"/>
            <w:noWrap w:val="0"/>
            <w:vAlign w:val="center"/>
          </w:tcPr>
          <w:p w14:paraId="7833F597">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803" w:type="dxa"/>
            <w:vMerge w:val="continue"/>
            <w:noWrap w:val="0"/>
            <w:vAlign w:val="center"/>
          </w:tcPr>
          <w:p w14:paraId="36686A78">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r>
      <w:tr w14:paraId="14434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trPr>
        <w:tc>
          <w:tcPr>
            <w:tcW w:w="556" w:type="dxa"/>
            <w:noWrap w:val="0"/>
            <w:vAlign w:val="center"/>
          </w:tcPr>
          <w:p w14:paraId="1778A7B7">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100</w:t>
            </w:r>
          </w:p>
        </w:tc>
        <w:tc>
          <w:tcPr>
            <w:tcW w:w="836" w:type="dxa"/>
            <w:vMerge w:val="continue"/>
            <w:noWrap w:val="0"/>
            <w:vAlign w:val="center"/>
          </w:tcPr>
          <w:p w14:paraId="09944F02">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1303" w:type="dxa"/>
            <w:noWrap w:val="0"/>
            <w:vAlign w:val="center"/>
          </w:tcPr>
          <w:p w14:paraId="11BBCFE4">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资产入库</w:t>
            </w:r>
          </w:p>
        </w:tc>
        <w:tc>
          <w:tcPr>
            <w:tcW w:w="5013" w:type="dxa"/>
            <w:noWrap w:val="0"/>
            <w:vAlign w:val="center"/>
          </w:tcPr>
          <w:p w14:paraId="798A9341">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采购到货后，由资产管理员发起资产验收入库申请，选择待收货的多项资产并填写入库信息；审批通过后，资产信息自动录入资产台账并生成资产编号，支持条形码与二维码格式，同时支持打印资产标签；入库完成后，资产状态标记为“闲置”。</w:t>
            </w:r>
          </w:p>
        </w:tc>
        <w:tc>
          <w:tcPr>
            <w:tcW w:w="709" w:type="dxa"/>
            <w:vMerge w:val="continue"/>
            <w:noWrap w:val="0"/>
            <w:vAlign w:val="center"/>
          </w:tcPr>
          <w:p w14:paraId="3C59C5F8">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803" w:type="dxa"/>
            <w:vMerge w:val="continue"/>
            <w:noWrap w:val="0"/>
            <w:vAlign w:val="center"/>
          </w:tcPr>
          <w:p w14:paraId="1C175BA6">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r>
      <w:tr w14:paraId="7FF25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0" w:hRule="atLeast"/>
        </w:trPr>
        <w:tc>
          <w:tcPr>
            <w:tcW w:w="556" w:type="dxa"/>
            <w:noWrap w:val="0"/>
            <w:vAlign w:val="center"/>
          </w:tcPr>
          <w:p w14:paraId="6C25BCE3">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101</w:t>
            </w:r>
          </w:p>
        </w:tc>
        <w:tc>
          <w:tcPr>
            <w:tcW w:w="836" w:type="dxa"/>
            <w:vMerge w:val="continue"/>
            <w:noWrap w:val="0"/>
            <w:vAlign w:val="center"/>
          </w:tcPr>
          <w:p w14:paraId="788F25A9">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1303" w:type="dxa"/>
            <w:noWrap w:val="0"/>
            <w:vAlign w:val="center"/>
          </w:tcPr>
          <w:p w14:paraId="052A5864">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资产台账</w:t>
            </w:r>
          </w:p>
        </w:tc>
        <w:tc>
          <w:tcPr>
            <w:tcW w:w="5013" w:type="dxa"/>
            <w:noWrap w:val="0"/>
            <w:vAlign w:val="center"/>
          </w:tcPr>
          <w:p w14:paraId="3213053D">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展示所有资产的完整台账，支持按编号、名称、类型、状态、使用人、部门筛选；资产状态包括闲置、申请中、使用中、待报废、已报废、维修中、调拨中、盘点中；支持查看每次资产状态变更日志（即流转信息）；支持通过Excel批量导入并自动生成资产编号。</w:t>
            </w:r>
          </w:p>
        </w:tc>
        <w:tc>
          <w:tcPr>
            <w:tcW w:w="709" w:type="dxa"/>
            <w:vMerge w:val="continue"/>
            <w:noWrap w:val="0"/>
            <w:vAlign w:val="center"/>
          </w:tcPr>
          <w:p w14:paraId="4F4D8FC8">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803" w:type="dxa"/>
            <w:vMerge w:val="continue"/>
            <w:noWrap w:val="0"/>
            <w:vAlign w:val="center"/>
          </w:tcPr>
          <w:p w14:paraId="27E21C5B">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r>
      <w:tr w14:paraId="566A3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0" w:hRule="atLeast"/>
        </w:trPr>
        <w:tc>
          <w:tcPr>
            <w:tcW w:w="556" w:type="dxa"/>
            <w:noWrap w:val="0"/>
            <w:vAlign w:val="center"/>
          </w:tcPr>
          <w:p w14:paraId="2C1D64F6">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102</w:t>
            </w:r>
          </w:p>
        </w:tc>
        <w:tc>
          <w:tcPr>
            <w:tcW w:w="836" w:type="dxa"/>
            <w:vMerge w:val="continue"/>
            <w:noWrap w:val="0"/>
            <w:vAlign w:val="center"/>
          </w:tcPr>
          <w:p w14:paraId="374121FA">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1303" w:type="dxa"/>
            <w:noWrap w:val="0"/>
            <w:vAlign w:val="center"/>
          </w:tcPr>
          <w:p w14:paraId="2BD71192">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资产领用</w:t>
            </w:r>
          </w:p>
        </w:tc>
        <w:tc>
          <w:tcPr>
            <w:tcW w:w="5013" w:type="dxa"/>
            <w:noWrap w:val="0"/>
            <w:vAlign w:val="center"/>
          </w:tcPr>
          <w:p w14:paraId="3A755FB3">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员工可发起资产领用申请，申请时可选择多个闲置资产；审批流程为申请人发起→部门负责人审批→资产管理员审批；审批通过后完成现场领用，资产状态变更为“使用中”并绑定使用人；资产归还时需发起归还申请，经资产管理员确认后，资产状态恢复为“闲置”。</w:t>
            </w:r>
          </w:p>
        </w:tc>
        <w:tc>
          <w:tcPr>
            <w:tcW w:w="709" w:type="dxa"/>
            <w:vMerge w:val="continue"/>
            <w:noWrap w:val="0"/>
            <w:vAlign w:val="center"/>
          </w:tcPr>
          <w:p w14:paraId="414D6D61">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803" w:type="dxa"/>
            <w:vMerge w:val="continue"/>
            <w:noWrap w:val="0"/>
            <w:vAlign w:val="center"/>
          </w:tcPr>
          <w:p w14:paraId="33FBB588">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r>
      <w:tr w14:paraId="44F96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trPr>
        <w:tc>
          <w:tcPr>
            <w:tcW w:w="556" w:type="dxa"/>
            <w:noWrap w:val="0"/>
            <w:vAlign w:val="center"/>
          </w:tcPr>
          <w:p w14:paraId="075A668F">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103</w:t>
            </w:r>
          </w:p>
        </w:tc>
        <w:tc>
          <w:tcPr>
            <w:tcW w:w="836" w:type="dxa"/>
            <w:vMerge w:val="continue"/>
            <w:noWrap w:val="0"/>
            <w:vAlign w:val="center"/>
          </w:tcPr>
          <w:p w14:paraId="0479947A">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1303" w:type="dxa"/>
            <w:noWrap w:val="0"/>
            <w:vAlign w:val="center"/>
          </w:tcPr>
          <w:p w14:paraId="1DD66DC5">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资产派发</w:t>
            </w:r>
          </w:p>
        </w:tc>
        <w:tc>
          <w:tcPr>
            <w:tcW w:w="5013" w:type="dxa"/>
            <w:noWrap w:val="0"/>
            <w:vAlign w:val="center"/>
          </w:tcPr>
          <w:p w14:paraId="686655B4">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由资产管理员发起资产派发单，可在单据中选择闲置资产，并指定使用人与使用部门；使用人收到派发单后完成现场领用确认，资产状态即变更为“使用中”；资产归还流程与领用流程一致。</w:t>
            </w:r>
          </w:p>
        </w:tc>
        <w:tc>
          <w:tcPr>
            <w:tcW w:w="709" w:type="dxa"/>
            <w:vMerge w:val="continue"/>
            <w:noWrap w:val="0"/>
            <w:vAlign w:val="center"/>
          </w:tcPr>
          <w:p w14:paraId="7986B3E5">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803" w:type="dxa"/>
            <w:vMerge w:val="continue"/>
            <w:noWrap w:val="0"/>
            <w:vAlign w:val="center"/>
          </w:tcPr>
          <w:p w14:paraId="2D8C8D3C">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r>
      <w:tr w14:paraId="47612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556" w:type="dxa"/>
            <w:noWrap w:val="0"/>
            <w:vAlign w:val="center"/>
          </w:tcPr>
          <w:p w14:paraId="74FEFF8D">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104</w:t>
            </w:r>
          </w:p>
        </w:tc>
        <w:tc>
          <w:tcPr>
            <w:tcW w:w="836" w:type="dxa"/>
            <w:vMerge w:val="continue"/>
            <w:noWrap w:val="0"/>
            <w:vAlign w:val="center"/>
          </w:tcPr>
          <w:p w14:paraId="6F0FCF78">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1303" w:type="dxa"/>
            <w:noWrap w:val="0"/>
            <w:vAlign w:val="center"/>
          </w:tcPr>
          <w:p w14:paraId="54AA29BB">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资产调拨</w:t>
            </w:r>
          </w:p>
        </w:tc>
        <w:tc>
          <w:tcPr>
            <w:tcW w:w="5013" w:type="dxa"/>
            <w:noWrap w:val="0"/>
            <w:vAlign w:val="center"/>
          </w:tcPr>
          <w:p w14:paraId="7B822CF6">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资产调拨需由调出部门发起申请，审批通过后，系统自动将资产的使用人及所属部门信息变更为调入部门相关信息，并留存完整调拨历史记录。</w:t>
            </w:r>
          </w:p>
        </w:tc>
        <w:tc>
          <w:tcPr>
            <w:tcW w:w="709" w:type="dxa"/>
            <w:vMerge w:val="continue"/>
            <w:noWrap w:val="0"/>
            <w:vAlign w:val="center"/>
          </w:tcPr>
          <w:p w14:paraId="18696F3F">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803" w:type="dxa"/>
            <w:vMerge w:val="continue"/>
            <w:noWrap w:val="0"/>
            <w:vAlign w:val="center"/>
          </w:tcPr>
          <w:p w14:paraId="4F5847B5">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r>
      <w:tr w14:paraId="2C250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556" w:type="dxa"/>
            <w:noWrap w:val="0"/>
            <w:vAlign w:val="center"/>
          </w:tcPr>
          <w:p w14:paraId="56D23996">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105</w:t>
            </w:r>
          </w:p>
        </w:tc>
        <w:tc>
          <w:tcPr>
            <w:tcW w:w="836" w:type="dxa"/>
            <w:vMerge w:val="continue"/>
            <w:noWrap w:val="0"/>
            <w:vAlign w:val="center"/>
          </w:tcPr>
          <w:p w14:paraId="76EAF8C5">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1303" w:type="dxa"/>
            <w:noWrap w:val="0"/>
            <w:vAlign w:val="center"/>
          </w:tcPr>
          <w:p w14:paraId="6D08F075">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资产维修</w:t>
            </w:r>
          </w:p>
        </w:tc>
        <w:tc>
          <w:tcPr>
            <w:tcW w:w="5013" w:type="dxa"/>
            <w:noWrap w:val="0"/>
            <w:vAlign w:val="center"/>
          </w:tcPr>
          <w:p w14:paraId="6239C332">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使用人或资产管理员发起维修申请，维修完成后，资产状态恢复为“使用中”或“闲置”；系统记录完整维修历史，信息包含费用预算总额与实际费用总额。</w:t>
            </w:r>
          </w:p>
        </w:tc>
        <w:tc>
          <w:tcPr>
            <w:tcW w:w="709" w:type="dxa"/>
            <w:vMerge w:val="continue"/>
            <w:noWrap w:val="0"/>
            <w:vAlign w:val="center"/>
          </w:tcPr>
          <w:p w14:paraId="64420559">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803" w:type="dxa"/>
            <w:vMerge w:val="continue"/>
            <w:noWrap w:val="0"/>
            <w:vAlign w:val="center"/>
          </w:tcPr>
          <w:p w14:paraId="0561B9CF">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r>
      <w:tr w14:paraId="2A5BA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trPr>
        <w:tc>
          <w:tcPr>
            <w:tcW w:w="556" w:type="dxa"/>
            <w:noWrap w:val="0"/>
            <w:vAlign w:val="center"/>
          </w:tcPr>
          <w:p w14:paraId="6FA82153">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106</w:t>
            </w:r>
          </w:p>
        </w:tc>
        <w:tc>
          <w:tcPr>
            <w:tcW w:w="836" w:type="dxa"/>
            <w:vMerge w:val="continue"/>
            <w:noWrap w:val="0"/>
            <w:vAlign w:val="center"/>
          </w:tcPr>
          <w:p w14:paraId="5BE6E49A">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1303" w:type="dxa"/>
            <w:noWrap w:val="0"/>
            <w:vAlign w:val="center"/>
          </w:tcPr>
          <w:p w14:paraId="73A49659">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资产报废</w:t>
            </w:r>
          </w:p>
        </w:tc>
        <w:tc>
          <w:tcPr>
            <w:tcW w:w="5013" w:type="dxa"/>
            <w:noWrap w:val="0"/>
            <w:vAlign w:val="center"/>
          </w:tcPr>
          <w:p w14:paraId="064BBA37">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由资产管理员发起资产报废申请，可在申请中选择多条未报废资产；审批通过后，对应资产状态变更为“已报废”；申请需填报资产原值合计、资产残值合计、报废原因、处置人员相关信息。</w:t>
            </w:r>
          </w:p>
        </w:tc>
        <w:tc>
          <w:tcPr>
            <w:tcW w:w="709" w:type="dxa"/>
            <w:vMerge w:val="continue"/>
            <w:noWrap w:val="0"/>
            <w:vAlign w:val="center"/>
          </w:tcPr>
          <w:p w14:paraId="0A3DD7EA">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803" w:type="dxa"/>
            <w:vMerge w:val="continue"/>
            <w:noWrap w:val="0"/>
            <w:vAlign w:val="center"/>
          </w:tcPr>
          <w:p w14:paraId="0734D3BC">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r>
      <w:tr w14:paraId="04AF4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0" w:hRule="atLeast"/>
        </w:trPr>
        <w:tc>
          <w:tcPr>
            <w:tcW w:w="556" w:type="dxa"/>
            <w:noWrap w:val="0"/>
            <w:vAlign w:val="center"/>
          </w:tcPr>
          <w:p w14:paraId="3DD67E07">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107</w:t>
            </w:r>
          </w:p>
        </w:tc>
        <w:tc>
          <w:tcPr>
            <w:tcW w:w="836" w:type="dxa"/>
            <w:vMerge w:val="continue"/>
            <w:noWrap w:val="0"/>
            <w:vAlign w:val="center"/>
          </w:tcPr>
          <w:p w14:paraId="259E65A8">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1303" w:type="dxa"/>
            <w:noWrap w:val="0"/>
            <w:vAlign w:val="center"/>
          </w:tcPr>
          <w:p w14:paraId="2EF4AA3E">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kern w:val="2"/>
                <w:sz w:val="24"/>
                <w:szCs w:val="24"/>
              </w:rPr>
              <w:t>▲</w:t>
            </w:r>
            <w:r>
              <w:rPr>
                <w:rFonts w:hint="eastAsia" w:ascii="宋体" w:hAnsi="宋体" w:cs="宋体"/>
                <w:b w:val="0"/>
                <w:bCs w:val="0"/>
                <w:color w:val="auto"/>
                <w:sz w:val="24"/>
                <w:szCs w:val="24"/>
              </w:rPr>
              <w:t>资产盘点</w:t>
            </w:r>
          </w:p>
        </w:tc>
        <w:tc>
          <w:tcPr>
            <w:tcW w:w="5013" w:type="dxa"/>
            <w:noWrap w:val="0"/>
            <w:vAlign w:val="center"/>
          </w:tcPr>
          <w:p w14:paraId="697058F4">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支持手动发起盘点任务，发起时可指定盘点范围（部门）与盘点人，完成对应盘点资产划分；盘点人可通过手机扫码或手工勾选方式填报盘点结果，结果选项包含正常、损坏、盘亏；盘点完成后系统自动生成盘点结果表，提交财务确认；同时支持多人协同盘点，并对盘点进度进行实时统计。</w:t>
            </w:r>
          </w:p>
        </w:tc>
        <w:tc>
          <w:tcPr>
            <w:tcW w:w="709" w:type="dxa"/>
            <w:vMerge w:val="continue"/>
            <w:noWrap w:val="0"/>
            <w:vAlign w:val="center"/>
          </w:tcPr>
          <w:p w14:paraId="71A5E2EB">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803" w:type="dxa"/>
            <w:vMerge w:val="continue"/>
            <w:noWrap w:val="0"/>
            <w:vAlign w:val="center"/>
          </w:tcPr>
          <w:p w14:paraId="69D018CC">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r>
      <w:tr w14:paraId="00B9E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556" w:type="dxa"/>
            <w:noWrap w:val="0"/>
            <w:vAlign w:val="center"/>
          </w:tcPr>
          <w:p w14:paraId="654873AB">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108</w:t>
            </w:r>
          </w:p>
        </w:tc>
        <w:tc>
          <w:tcPr>
            <w:tcW w:w="836" w:type="dxa"/>
            <w:vMerge w:val="restart"/>
            <w:noWrap w:val="0"/>
            <w:vAlign w:val="center"/>
          </w:tcPr>
          <w:p w14:paraId="08805BB4">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党群工会</w:t>
            </w:r>
            <w:r>
              <w:rPr>
                <w:rFonts w:hint="eastAsia" w:ascii="宋体" w:hAnsi="宋体" w:eastAsia="宋体" w:cs="宋体"/>
                <w:b w:val="0"/>
                <w:bCs w:val="0"/>
                <w:i w:val="0"/>
                <w:iCs w:val="0"/>
                <w:color w:val="auto"/>
                <w:kern w:val="0"/>
                <w:sz w:val="24"/>
                <w:szCs w:val="24"/>
                <w:u w:val="none"/>
                <w:lang w:val="en-US" w:eastAsia="zh-CN" w:bidi="ar"/>
              </w:rPr>
              <w:t>定制</w:t>
            </w:r>
          </w:p>
        </w:tc>
        <w:tc>
          <w:tcPr>
            <w:tcW w:w="1303" w:type="dxa"/>
            <w:noWrap w:val="0"/>
            <w:vAlign w:val="center"/>
          </w:tcPr>
          <w:p w14:paraId="3F3812D4">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工会管理</w:t>
            </w:r>
          </w:p>
        </w:tc>
        <w:tc>
          <w:tcPr>
            <w:tcW w:w="5013" w:type="dxa"/>
            <w:noWrap w:val="0"/>
            <w:vAlign w:val="center"/>
          </w:tcPr>
          <w:p w14:paraId="193A2E95">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支持建立工会组织架构；可发布活动信息，信息涵盖活动标题、活动类型、活动内容、活动开始及结束时间、发布日期，同时支持查看活动详情。</w:t>
            </w:r>
          </w:p>
        </w:tc>
        <w:tc>
          <w:tcPr>
            <w:tcW w:w="709" w:type="dxa"/>
            <w:vMerge w:val="restart"/>
            <w:noWrap/>
            <w:vAlign w:val="center"/>
          </w:tcPr>
          <w:p w14:paraId="6F684BFA">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1</w:t>
            </w:r>
          </w:p>
        </w:tc>
        <w:tc>
          <w:tcPr>
            <w:tcW w:w="803" w:type="dxa"/>
            <w:vMerge w:val="restart"/>
            <w:noWrap/>
            <w:vAlign w:val="center"/>
          </w:tcPr>
          <w:p w14:paraId="67DDFECF">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项</w:t>
            </w:r>
          </w:p>
        </w:tc>
      </w:tr>
      <w:tr w14:paraId="4EDD7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trPr>
        <w:tc>
          <w:tcPr>
            <w:tcW w:w="556" w:type="dxa"/>
            <w:noWrap w:val="0"/>
            <w:vAlign w:val="center"/>
          </w:tcPr>
          <w:p w14:paraId="00A75B4F">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109</w:t>
            </w:r>
          </w:p>
        </w:tc>
        <w:tc>
          <w:tcPr>
            <w:tcW w:w="836" w:type="dxa"/>
            <w:vMerge w:val="continue"/>
            <w:noWrap w:val="0"/>
            <w:vAlign w:val="center"/>
          </w:tcPr>
          <w:p w14:paraId="2F09C650">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1303" w:type="dxa"/>
            <w:noWrap w:val="0"/>
            <w:vAlign w:val="center"/>
          </w:tcPr>
          <w:p w14:paraId="24686A48">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党建管理-组织/党员</w:t>
            </w:r>
          </w:p>
        </w:tc>
        <w:tc>
          <w:tcPr>
            <w:tcW w:w="5013" w:type="dxa"/>
            <w:noWrap w:val="0"/>
            <w:vAlign w:val="center"/>
          </w:tcPr>
          <w:p w14:paraId="7F019495">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建立党组织架构树等层级结构；维护党员台账，记录内容包含姓名、性别、出生日期、入党时间、转正时间、所属党组织、党内职务、党员状态，支持从人事模块同步员工信息，完成党员身份标记。</w:t>
            </w:r>
          </w:p>
        </w:tc>
        <w:tc>
          <w:tcPr>
            <w:tcW w:w="709" w:type="dxa"/>
            <w:vMerge w:val="continue"/>
            <w:noWrap w:val="0"/>
            <w:vAlign w:val="center"/>
          </w:tcPr>
          <w:p w14:paraId="592DE2E2">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803" w:type="dxa"/>
            <w:vMerge w:val="continue"/>
            <w:noWrap w:val="0"/>
            <w:vAlign w:val="center"/>
          </w:tcPr>
          <w:p w14:paraId="57D66582">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r>
      <w:tr w14:paraId="24555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556" w:type="dxa"/>
            <w:noWrap w:val="0"/>
            <w:vAlign w:val="center"/>
          </w:tcPr>
          <w:p w14:paraId="4A1774CA">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110</w:t>
            </w:r>
          </w:p>
        </w:tc>
        <w:tc>
          <w:tcPr>
            <w:tcW w:w="836" w:type="dxa"/>
            <w:vMerge w:val="continue"/>
            <w:noWrap w:val="0"/>
            <w:vAlign w:val="center"/>
          </w:tcPr>
          <w:p w14:paraId="4FC55452">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1303" w:type="dxa"/>
            <w:noWrap w:val="0"/>
            <w:vAlign w:val="center"/>
          </w:tcPr>
          <w:p w14:paraId="332E243E">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党建管理-议题填报</w:t>
            </w:r>
          </w:p>
        </w:tc>
        <w:tc>
          <w:tcPr>
            <w:tcW w:w="5013" w:type="dxa"/>
            <w:noWrap w:val="0"/>
            <w:vAlign w:val="center"/>
          </w:tcPr>
          <w:p w14:paraId="10AC7337">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需填写支委会议题相关信息后发起审批流程，支持查看议题单详情；需填报的信息包括议题名称、提出人、汇报人、主要内容、部门意见。</w:t>
            </w:r>
          </w:p>
        </w:tc>
        <w:tc>
          <w:tcPr>
            <w:tcW w:w="709" w:type="dxa"/>
            <w:vMerge w:val="continue"/>
            <w:noWrap w:val="0"/>
            <w:vAlign w:val="center"/>
          </w:tcPr>
          <w:p w14:paraId="60138673">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803" w:type="dxa"/>
            <w:vMerge w:val="continue"/>
            <w:noWrap w:val="0"/>
            <w:vAlign w:val="center"/>
          </w:tcPr>
          <w:p w14:paraId="7C951ABA">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r>
      <w:tr w14:paraId="2847C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556" w:type="dxa"/>
            <w:noWrap w:val="0"/>
            <w:vAlign w:val="center"/>
          </w:tcPr>
          <w:p w14:paraId="22CF813A">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112</w:t>
            </w:r>
          </w:p>
        </w:tc>
        <w:tc>
          <w:tcPr>
            <w:tcW w:w="836" w:type="dxa"/>
            <w:vMerge w:val="restart"/>
            <w:noWrap w:val="0"/>
            <w:vAlign w:val="center"/>
          </w:tcPr>
          <w:p w14:paraId="32A0D12C">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信访纪检</w:t>
            </w:r>
            <w:r>
              <w:rPr>
                <w:rFonts w:hint="eastAsia" w:ascii="宋体" w:hAnsi="宋体" w:eastAsia="宋体" w:cs="宋体"/>
                <w:b w:val="0"/>
                <w:bCs w:val="0"/>
                <w:i w:val="0"/>
                <w:iCs w:val="0"/>
                <w:color w:val="auto"/>
                <w:kern w:val="0"/>
                <w:sz w:val="24"/>
                <w:szCs w:val="24"/>
                <w:u w:val="none"/>
                <w:lang w:val="en-US" w:eastAsia="zh-CN" w:bidi="ar"/>
              </w:rPr>
              <w:t>定制</w:t>
            </w:r>
          </w:p>
        </w:tc>
        <w:tc>
          <w:tcPr>
            <w:tcW w:w="1303" w:type="dxa"/>
            <w:noWrap w:val="0"/>
            <w:vAlign w:val="center"/>
          </w:tcPr>
          <w:p w14:paraId="3E358CB1">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信息填报</w:t>
            </w:r>
          </w:p>
        </w:tc>
        <w:tc>
          <w:tcPr>
            <w:tcW w:w="5013" w:type="dxa"/>
            <w:noWrap w:val="0"/>
            <w:vAlign w:val="center"/>
          </w:tcPr>
          <w:p w14:paraId="49479726">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设置统一信息填报入口，用于记录安全生产、信访稳定、环境保护三类事项的基本信息，可填报事项类型、发生日期、处理状态等内容，支持富文本编辑与附件上传。</w:t>
            </w:r>
          </w:p>
        </w:tc>
        <w:tc>
          <w:tcPr>
            <w:tcW w:w="709" w:type="dxa"/>
            <w:vMerge w:val="restart"/>
            <w:noWrap/>
            <w:vAlign w:val="center"/>
          </w:tcPr>
          <w:p w14:paraId="3B09F03F">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1</w:t>
            </w:r>
          </w:p>
        </w:tc>
        <w:tc>
          <w:tcPr>
            <w:tcW w:w="803" w:type="dxa"/>
            <w:vMerge w:val="restart"/>
            <w:noWrap/>
            <w:vAlign w:val="center"/>
          </w:tcPr>
          <w:p w14:paraId="1DB01A0A">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项</w:t>
            </w:r>
          </w:p>
        </w:tc>
      </w:tr>
      <w:tr w14:paraId="1C052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trPr>
        <w:tc>
          <w:tcPr>
            <w:tcW w:w="556" w:type="dxa"/>
            <w:noWrap w:val="0"/>
            <w:vAlign w:val="center"/>
          </w:tcPr>
          <w:p w14:paraId="5787A6EB">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113</w:t>
            </w:r>
          </w:p>
        </w:tc>
        <w:tc>
          <w:tcPr>
            <w:tcW w:w="836" w:type="dxa"/>
            <w:vMerge w:val="continue"/>
            <w:noWrap w:val="0"/>
            <w:vAlign w:val="center"/>
          </w:tcPr>
          <w:p w14:paraId="0933DD0A">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1303" w:type="dxa"/>
            <w:noWrap w:val="0"/>
            <w:vAlign w:val="center"/>
          </w:tcPr>
          <w:p w14:paraId="31E36A9F">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信访登记</w:t>
            </w:r>
          </w:p>
        </w:tc>
        <w:tc>
          <w:tcPr>
            <w:tcW w:w="5013" w:type="dxa"/>
            <w:noWrap w:val="0"/>
            <w:vAlign w:val="center"/>
          </w:tcPr>
          <w:p w14:paraId="30888080">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支持对信访线索及其跟进过程、处理结果进行登记，可先填报信访事件基础信息，后续补充过程跟踪内容与处理结果；支持记录信访人、身份证号、上访单位、上访时间、事件背景、诉求、过程跟踪、信访结果等信息。</w:t>
            </w:r>
          </w:p>
        </w:tc>
        <w:tc>
          <w:tcPr>
            <w:tcW w:w="709" w:type="dxa"/>
            <w:vMerge w:val="continue"/>
            <w:noWrap w:val="0"/>
            <w:vAlign w:val="center"/>
          </w:tcPr>
          <w:p w14:paraId="52915DA3">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803" w:type="dxa"/>
            <w:vMerge w:val="continue"/>
            <w:noWrap w:val="0"/>
            <w:vAlign w:val="center"/>
          </w:tcPr>
          <w:p w14:paraId="6129BB96">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r>
      <w:tr w14:paraId="48973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trPr>
        <w:tc>
          <w:tcPr>
            <w:tcW w:w="556" w:type="dxa"/>
            <w:noWrap w:val="0"/>
            <w:vAlign w:val="center"/>
          </w:tcPr>
          <w:p w14:paraId="423D0017">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114</w:t>
            </w:r>
          </w:p>
        </w:tc>
        <w:tc>
          <w:tcPr>
            <w:tcW w:w="836" w:type="dxa"/>
            <w:vMerge w:val="continue"/>
            <w:noWrap w:val="0"/>
            <w:vAlign w:val="center"/>
          </w:tcPr>
          <w:p w14:paraId="358EE57F">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1303" w:type="dxa"/>
            <w:noWrap w:val="0"/>
            <w:vAlign w:val="center"/>
          </w:tcPr>
          <w:p w14:paraId="32E63E66">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三重一大事项填报</w:t>
            </w:r>
          </w:p>
        </w:tc>
        <w:tc>
          <w:tcPr>
            <w:tcW w:w="5013" w:type="dxa"/>
            <w:noWrap w:val="0"/>
            <w:vAlign w:val="center"/>
          </w:tcPr>
          <w:p w14:paraId="5109569D">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本功能用于“重大事项决策、重要人事任免、重大项目安排、大额资金使用”事项的报备与审批，支持填报类别、基本情况、报备材料清单等信息，具备查询与导出功能。</w:t>
            </w:r>
          </w:p>
        </w:tc>
        <w:tc>
          <w:tcPr>
            <w:tcW w:w="709" w:type="dxa"/>
            <w:vMerge w:val="continue"/>
            <w:noWrap w:val="0"/>
            <w:vAlign w:val="center"/>
          </w:tcPr>
          <w:p w14:paraId="751535A4">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803" w:type="dxa"/>
            <w:vMerge w:val="continue"/>
            <w:noWrap w:val="0"/>
            <w:vAlign w:val="center"/>
          </w:tcPr>
          <w:p w14:paraId="3A0283DA">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r>
      <w:tr w14:paraId="6DE5A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0" w:hRule="atLeast"/>
        </w:trPr>
        <w:tc>
          <w:tcPr>
            <w:tcW w:w="556" w:type="dxa"/>
            <w:noWrap w:val="0"/>
            <w:vAlign w:val="center"/>
          </w:tcPr>
          <w:p w14:paraId="4FEE7577">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116</w:t>
            </w:r>
          </w:p>
        </w:tc>
        <w:tc>
          <w:tcPr>
            <w:tcW w:w="836" w:type="dxa"/>
            <w:vMerge w:val="restart"/>
            <w:noWrap w:val="0"/>
            <w:vAlign w:val="center"/>
          </w:tcPr>
          <w:p w14:paraId="6A3611CC">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数据中心(报表/成本分析)</w:t>
            </w:r>
            <w:r>
              <w:rPr>
                <w:rFonts w:hint="eastAsia" w:ascii="宋体" w:hAnsi="宋体" w:eastAsia="宋体" w:cs="宋体"/>
                <w:b w:val="0"/>
                <w:bCs w:val="0"/>
                <w:i w:val="0"/>
                <w:iCs w:val="0"/>
                <w:color w:val="auto"/>
                <w:kern w:val="0"/>
                <w:sz w:val="24"/>
                <w:szCs w:val="24"/>
                <w:u w:val="none"/>
                <w:lang w:val="en-US" w:eastAsia="zh-CN" w:bidi="ar"/>
              </w:rPr>
              <w:t>定制</w:t>
            </w:r>
          </w:p>
        </w:tc>
        <w:tc>
          <w:tcPr>
            <w:tcW w:w="1303" w:type="dxa"/>
            <w:noWrap w:val="0"/>
            <w:vAlign w:val="center"/>
          </w:tcPr>
          <w:p w14:paraId="542800D7">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项目收支成本分析</w:t>
            </w:r>
          </w:p>
        </w:tc>
        <w:tc>
          <w:tcPr>
            <w:tcW w:w="5013" w:type="dxa"/>
            <w:noWrap w:val="0"/>
            <w:vAlign w:val="center"/>
          </w:tcPr>
          <w:p w14:paraId="4C4AF77F">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本模块项目信息页面可提供对应项目的收支统计数据，点击页面内具体数字，可穿透查询对应项目的明细列表；统计收入项包含合同总金额、累计开票金额、累计到款金额、合同未收金额、开票未收金额、收款率；统计成本项由直接成本（采购、差旅、其他报销、其他付款）与人力成本（保安工资）构成。</w:t>
            </w:r>
          </w:p>
        </w:tc>
        <w:tc>
          <w:tcPr>
            <w:tcW w:w="709" w:type="dxa"/>
            <w:vMerge w:val="restart"/>
            <w:noWrap/>
            <w:vAlign w:val="center"/>
          </w:tcPr>
          <w:p w14:paraId="691CC6C4">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1</w:t>
            </w:r>
          </w:p>
        </w:tc>
        <w:tc>
          <w:tcPr>
            <w:tcW w:w="803" w:type="dxa"/>
            <w:vMerge w:val="restart"/>
            <w:noWrap/>
            <w:vAlign w:val="center"/>
          </w:tcPr>
          <w:p w14:paraId="40F8C29C">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项</w:t>
            </w:r>
          </w:p>
        </w:tc>
      </w:tr>
      <w:tr w14:paraId="61C02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trPr>
        <w:tc>
          <w:tcPr>
            <w:tcW w:w="556" w:type="dxa"/>
            <w:noWrap w:val="0"/>
            <w:vAlign w:val="center"/>
          </w:tcPr>
          <w:p w14:paraId="732A5371">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117</w:t>
            </w:r>
          </w:p>
        </w:tc>
        <w:tc>
          <w:tcPr>
            <w:tcW w:w="836" w:type="dxa"/>
            <w:vMerge w:val="continue"/>
            <w:noWrap w:val="0"/>
            <w:vAlign w:val="center"/>
          </w:tcPr>
          <w:p w14:paraId="157576A3">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1303" w:type="dxa"/>
            <w:noWrap w:val="0"/>
            <w:vAlign w:val="center"/>
          </w:tcPr>
          <w:p w14:paraId="70C72910">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公司项目统计</w:t>
            </w:r>
          </w:p>
        </w:tc>
        <w:tc>
          <w:tcPr>
            <w:tcW w:w="5013" w:type="dxa"/>
            <w:noWrap w:val="0"/>
            <w:vAlign w:val="center"/>
          </w:tcPr>
          <w:p w14:paraId="0736452D">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支持对公司所有项目的收支情况进行多维度统计与展示，可按责任部门、所属客户、项目类型、项目开始日期、项目负责人等维度筛选，并以卡片形式展示项目总数、总合同金额、总收款金额、总成本、总利润数据。</w:t>
            </w:r>
          </w:p>
        </w:tc>
        <w:tc>
          <w:tcPr>
            <w:tcW w:w="709" w:type="dxa"/>
            <w:vMerge w:val="continue"/>
            <w:noWrap w:val="0"/>
            <w:vAlign w:val="center"/>
          </w:tcPr>
          <w:p w14:paraId="2F97A91D">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803" w:type="dxa"/>
            <w:vMerge w:val="continue"/>
            <w:noWrap w:val="0"/>
            <w:vAlign w:val="center"/>
          </w:tcPr>
          <w:p w14:paraId="004D199D">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r>
      <w:tr w14:paraId="2165F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556" w:type="dxa"/>
            <w:noWrap w:val="0"/>
            <w:vAlign w:val="center"/>
          </w:tcPr>
          <w:p w14:paraId="4872C110">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118</w:t>
            </w:r>
          </w:p>
        </w:tc>
        <w:tc>
          <w:tcPr>
            <w:tcW w:w="836" w:type="dxa"/>
            <w:vMerge w:val="continue"/>
            <w:noWrap w:val="0"/>
            <w:vAlign w:val="center"/>
          </w:tcPr>
          <w:p w14:paraId="0F514062">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1303" w:type="dxa"/>
            <w:noWrap w:val="0"/>
            <w:vAlign w:val="center"/>
          </w:tcPr>
          <w:p w14:paraId="24182E88">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图表分析</w:t>
            </w:r>
          </w:p>
        </w:tc>
        <w:tc>
          <w:tcPr>
            <w:tcW w:w="5013" w:type="dxa"/>
            <w:noWrap w:val="0"/>
            <w:vAlign w:val="center"/>
          </w:tcPr>
          <w:p w14:paraId="646D58C4">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项目成本统计数据支持图形化展示并导出为图片文件，图形类型包括各部门收支柱状图、成本结构分布饼图，其中饼图用于展示直接成本与人力成本的占比关系。</w:t>
            </w:r>
          </w:p>
        </w:tc>
        <w:tc>
          <w:tcPr>
            <w:tcW w:w="709" w:type="dxa"/>
            <w:vMerge w:val="continue"/>
            <w:noWrap w:val="0"/>
            <w:vAlign w:val="center"/>
          </w:tcPr>
          <w:p w14:paraId="52C10578">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803" w:type="dxa"/>
            <w:vMerge w:val="continue"/>
            <w:noWrap w:val="0"/>
            <w:vAlign w:val="center"/>
          </w:tcPr>
          <w:p w14:paraId="17AA3F7E">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r>
      <w:tr w14:paraId="04519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trPr>
        <w:tc>
          <w:tcPr>
            <w:tcW w:w="556" w:type="dxa"/>
            <w:noWrap w:val="0"/>
            <w:vAlign w:val="center"/>
          </w:tcPr>
          <w:p w14:paraId="47F14CD1">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119</w:t>
            </w:r>
          </w:p>
        </w:tc>
        <w:tc>
          <w:tcPr>
            <w:tcW w:w="836" w:type="dxa"/>
            <w:vMerge w:val="continue"/>
            <w:noWrap w:val="0"/>
            <w:vAlign w:val="center"/>
          </w:tcPr>
          <w:p w14:paraId="4383536A">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1303" w:type="dxa"/>
            <w:noWrap w:val="0"/>
            <w:vAlign w:val="center"/>
          </w:tcPr>
          <w:p w14:paraId="31DB8A18">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项目成本汇总表</w:t>
            </w:r>
          </w:p>
        </w:tc>
        <w:tc>
          <w:tcPr>
            <w:tcW w:w="5013" w:type="dxa"/>
            <w:noWrap w:val="0"/>
            <w:vAlign w:val="center"/>
          </w:tcPr>
          <w:p w14:paraId="419DBE72">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将每个项目的收支成本进行汇总，支持导出为Excel文件，汇总内容包含项目名称、客户、责任部门、负责人、合同总金额、累计到款、累计开票、直接成本、人力成本、总成本、项目利润。</w:t>
            </w:r>
          </w:p>
        </w:tc>
        <w:tc>
          <w:tcPr>
            <w:tcW w:w="709" w:type="dxa"/>
            <w:vMerge w:val="continue"/>
            <w:noWrap w:val="0"/>
            <w:vAlign w:val="center"/>
          </w:tcPr>
          <w:p w14:paraId="2711773B">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803" w:type="dxa"/>
            <w:vMerge w:val="continue"/>
            <w:noWrap w:val="0"/>
            <w:vAlign w:val="center"/>
          </w:tcPr>
          <w:p w14:paraId="18341B04">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r>
      <w:tr w14:paraId="1876F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556" w:type="dxa"/>
            <w:noWrap w:val="0"/>
            <w:vAlign w:val="center"/>
          </w:tcPr>
          <w:p w14:paraId="62DEEBF7">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120</w:t>
            </w:r>
          </w:p>
        </w:tc>
        <w:tc>
          <w:tcPr>
            <w:tcW w:w="836" w:type="dxa"/>
            <w:noWrap w:val="0"/>
            <w:vAlign w:val="center"/>
          </w:tcPr>
          <w:p w14:paraId="2B2748EA">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b w:val="0"/>
                <w:bCs w:val="0"/>
                <w:color w:val="auto"/>
                <w:sz w:val="24"/>
                <w:szCs w:val="24"/>
                <w:lang w:val="en-US" w:eastAsia="zh-CN"/>
              </w:rPr>
            </w:pPr>
            <w:r>
              <w:rPr>
                <w:rFonts w:hint="eastAsia" w:ascii="宋体" w:hAnsi="宋体" w:cs="宋体"/>
                <w:b w:val="0"/>
                <w:bCs w:val="0"/>
                <w:color w:val="auto"/>
                <w:sz w:val="24"/>
                <w:szCs w:val="24"/>
              </w:rPr>
              <w:t>★平台授权</w:t>
            </w:r>
            <w:r>
              <w:rPr>
                <w:rFonts w:hint="eastAsia" w:ascii="宋体" w:hAnsi="宋体" w:cs="宋体"/>
                <w:b w:val="0"/>
                <w:bCs w:val="0"/>
                <w:color w:val="auto"/>
                <w:sz w:val="24"/>
                <w:szCs w:val="24"/>
                <w:lang w:val="en-US" w:eastAsia="zh-CN"/>
              </w:rPr>
              <w:t>模块</w:t>
            </w:r>
          </w:p>
        </w:tc>
        <w:tc>
          <w:tcPr>
            <w:tcW w:w="1303" w:type="dxa"/>
            <w:noWrap w:val="0"/>
            <w:vAlign w:val="center"/>
          </w:tcPr>
          <w:p w14:paraId="542C1BD1">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平台注册用户使用许可</w:t>
            </w:r>
          </w:p>
        </w:tc>
        <w:tc>
          <w:tcPr>
            <w:tcW w:w="5013" w:type="dxa"/>
            <w:noWrap w:val="0"/>
            <w:vAlign w:val="center"/>
          </w:tcPr>
          <w:p w14:paraId="3D83318F">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100个PC客户端和移动端注册开通的账号数量收取授权使用许可。</w:t>
            </w:r>
          </w:p>
        </w:tc>
        <w:tc>
          <w:tcPr>
            <w:tcW w:w="709" w:type="dxa"/>
            <w:noWrap/>
            <w:vAlign w:val="center"/>
          </w:tcPr>
          <w:p w14:paraId="7055806E">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1</w:t>
            </w:r>
          </w:p>
        </w:tc>
        <w:tc>
          <w:tcPr>
            <w:tcW w:w="803" w:type="dxa"/>
            <w:noWrap/>
            <w:vAlign w:val="center"/>
          </w:tcPr>
          <w:p w14:paraId="7611E591">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项</w:t>
            </w:r>
          </w:p>
        </w:tc>
      </w:tr>
      <w:tr w14:paraId="5831E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4" w:hRule="atLeast"/>
        </w:trPr>
        <w:tc>
          <w:tcPr>
            <w:tcW w:w="556" w:type="dxa"/>
            <w:noWrap w:val="0"/>
            <w:vAlign w:val="center"/>
          </w:tcPr>
          <w:p w14:paraId="62F77FDB">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121</w:t>
            </w:r>
          </w:p>
        </w:tc>
        <w:tc>
          <w:tcPr>
            <w:tcW w:w="836" w:type="dxa"/>
            <w:vMerge w:val="restart"/>
            <w:noWrap w:val="0"/>
            <w:vAlign w:val="center"/>
          </w:tcPr>
          <w:p w14:paraId="545EF02A">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★云资源服务租赁</w:t>
            </w:r>
          </w:p>
        </w:tc>
        <w:tc>
          <w:tcPr>
            <w:tcW w:w="1303" w:type="dxa"/>
            <w:noWrap/>
            <w:vAlign w:val="center"/>
          </w:tcPr>
          <w:p w14:paraId="676A1275">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数据库服务器</w:t>
            </w:r>
          </w:p>
        </w:tc>
        <w:tc>
          <w:tcPr>
            <w:tcW w:w="5013" w:type="dxa"/>
            <w:noWrap w:val="0"/>
            <w:vAlign w:val="center"/>
          </w:tcPr>
          <w:p w14:paraId="3DC0D51D">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vcpu：32核</w:t>
            </w:r>
            <w:r>
              <w:rPr>
                <w:rFonts w:hint="eastAsia" w:ascii="宋体" w:hAnsi="宋体" w:cs="宋体"/>
                <w:b w:val="0"/>
                <w:bCs w:val="0"/>
                <w:color w:val="auto"/>
                <w:sz w:val="24"/>
                <w:szCs w:val="24"/>
              </w:rPr>
              <w:br w:type="textWrapping"/>
            </w:r>
            <w:r>
              <w:rPr>
                <w:rFonts w:hint="eastAsia" w:ascii="宋体" w:hAnsi="宋体" w:cs="宋体"/>
                <w:b w:val="0"/>
                <w:bCs w:val="0"/>
                <w:color w:val="auto"/>
                <w:sz w:val="24"/>
                <w:szCs w:val="24"/>
              </w:rPr>
              <w:t>内存：32G</w:t>
            </w:r>
            <w:r>
              <w:rPr>
                <w:rFonts w:hint="eastAsia" w:ascii="宋体" w:hAnsi="宋体" w:cs="宋体"/>
                <w:b w:val="0"/>
                <w:bCs w:val="0"/>
                <w:color w:val="auto"/>
                <w:sz w:val="24"/>
                <w:szCs w:val="24"/>
              </w:rPr>
              <w:br w:type="textWrapping"/>
            </w:r>
            <w:r>
              <w:rPr>
                <w:rFonts w:hint="eastAsia" w:ascii="宋体" w:hAnsi="宋体" w:cs="宋体"/>
                <w:b w:val="0"/>
                <w:bCs w:val="0"/>
                <w:color w:val="auto"/>
                <w:sz w:val="24"/>
                <w:szCs w:val="24"/>
              </w:rPr>
              <w:t>SSD：300G</w:t>
            </w:r>
          </w:p>
        </w:tc>
        <w:tc>
          <w:tcPr>
            <w:tcW w:w="709" w:type="dxa"/>
            <w:noWrap/>
            <w:vAlign w:val="center"/>
          </w:tcPr>
          <w:p w14:paraId="62B6535B">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 xml:space="preserve">6 </w:t>
            </w:r>
          </w:p>
        </w:tc>
        <w:tc>
          <w:tcPr>
            <w:tcW w:w="803" w:type="dxa"/>
            <w:noWrap/>
            <w:vAlign w:val="center"/>
          </w:tcPr>
          <w:p w14:paraId="19122F50">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月</w:t>
            </w:r>
          </w:p>
        </w:tc>
      </w:tr>
      <w:tr w14:paraId="7DC57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4" w:hRule="atLeast"/>
        </w:trPr>
        <w:tc>
          <w:tcPr>
            <w:tcW w:w="556" w:type="dxa"/>
            <w:noWrap w:val="0"/>
            <w:vAlign w:val="center"/>
          </w:tcPr>
          <w:p w14:paraId="6D097DDA">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122</w:t>
            </w:r>
          </w:p>
        </w:tc>
        <w:tc>
          <w:tcPr>
            <w:tcW w:w="836" w:type="dxa"/>
            <w:vMerge w:val="continue"/>
            <w:noWrap w:val="0"/>
            <w:vAlign w:val="center"/>
          </w:tcPr>
          <w:p w14:paraId="1574B3BC">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1303" w:type="dxa"/>
            <w:noWrap/>
            <w:vAlign w:val="center"/>
          </w:tcPr>
          <w:p w14:paraId="297B99B6">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应用服务器</w:t>
            </w:r>
          </w:p>
        </w:tc>
        <w:tc>
          <w:tcPr>
            <w:tcW w:w="5013" w:type="dxa"/>
            <w:noWrap w:val="0"/>
            <w:vAlign w:val="center"/>
          </w:tcPr>
          <w:p w14:paraId="484596AE">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vcpu：32核</w:t>
            </w:r>
            <w:r>
              <w:rPr>
                <w:rFonts w:hint="eastAsia" w:ascii="宋体" w:hAnsi="宋体" w:cs="宋体"/>
                <w:b w:val="0"/>
                <w:bCs w:val="0"/>
                <w:color w:val="auto"/>
                <w:sz w:val="24"/>
                <w:szCs w:val="24"/>
              </w:rPr>
              <w:br w:type="textWrapping"/>
            </w:r>
            <w:r>
              <w:rPr>
                <w:rFonts w:hint="eastAsia" w:ascii="宋体" w:hAnsi="宋体" w:cs="宋体"/>
                <w:b w:val="0"/>
                <w:bCs w:val="0"/>
                <w:color w:val="auto"/>
                <w:sz w:val="24"/>
                <w:szCs w:val="24"/>
              </w:rPr>
              <w:t>内存：16G</w:t>
            </w:r>
            <w:r>
              <w:rPr>
                <w:rFonts w:hint="eastAsia" w:ascii="宋体" w:hAnsi="宋体" w:cs="宋体"/>
                <w:b w:val="0"/>
                <w:bCs w:val="0"/>
                <w:color w:val="auto"/>
                <w:sz w:val="24"/>
                <w:szCs w:val="24"/>
              </w:rPr>
              <w:br w:type="textWrapping"/>
            </w:r>
            <w:r>
              <w:rPr>
                <w:rFonts w:hint="eastAsia" w:ascii="宋体" w:hAnsi="宋体" w:cs="宋体"/>
                <w:b w:val="0"/>
                <w:bCs w:val="0"/>
                <w:color w:val="auto"/>
                <w:sz w:val="24"/>
                <w:szCs w:val="24"/>
              </w:rPr>
              <w:t>硬盘：500G</w:t>
            </w:r>
          </w:p>
        </w:tc>
        <w:tc>
          <w:tcPr>
            <w:tcW w:w="709" w:type="dxa"/>
            <w:noWrap/>
            <w:vAlign w:val="center"/>
          </w:tcPr>
          <w:p w14:paraId="1ACD9AD5">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 xml:space="preserve">6 </w:t>
            </w:r>
          </w:p>
        </w:tc>
        <w:tc>
          <w:tcPr>
            <w:tcW w:w="803" w:type="dxa"/>
            <w:noWrap/>
            <w:vAlign w:val="center"/>
          </w:tcPr>
          <w:p w14:paraId="5753734F">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月</w:t>
            </w:r>
          </w:p>
        </w:tc>
      </w:tr>
      <w:tr w14:paraId="77749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4" w:hRule="atLeast"/>
        </w:trPr>
        <w:tc>
          <w:tcPr>
            <w:tcW w:w="556" w:type="dxa"/>
            <w:noWrap w:val="0"/>
            <w:vAlign w:val="center"/>
          </w:tcPr>
          <w:p w14:paraId="04EEBAC1">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1</w:t>
            </w:r>
            <w:r>
              <w:rPr>
                <w:rFonts w:ascii="宋体" w:hAnsi="宋体" w:cs="宋体"/>
                <w:b w:val="0"/>
                <w:bCs w:val="0"/>
                <w:color w:val="auto"/>
                <w:sz w:val="24"/>
                <w:szCs w:val="24"/>
              </w:rPr>
              <w:t>23</w:t>
            </w:r>
          </w:p>
        </w:tc>
        <w:tc>
          <w:tcPr>
            <w:tcW w:w="836" w:type="dxa"/>
            <w:vMerge w:val="continue"/>
            <w:noWrap w:val="0"/>
            <w:vAlign w:val="center"/>
          </w:tcPr>
          <w:p w14:paraId="220F37AD">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1303" w:type="dxa"/>
            <w:noWrap/>
            <w:vAlign w:val="center"/>
          </w:tcPr>
          <w:p w14:paraId="100A138C">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云主机安全防护</w:t>
            </w:r>
          </w:p>
        </w:tc>
        <w:tc>
          <w:tcPr>
            <w:tcW w:w="5013" w:type="dxa"/>
            <w:noWrap w:val="0"/>
            <w:vAlign w:val="center"/>
          </w:tcPr>
          <w:p w14:paraId="63CC3EAF">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b w:val="0"/>
                <w:bCs w:val="0"/>
                <w:color w:val="auto"/>
                <w:sz w:val="24"/>
                <w:szCs w:val="24"/>
              </w:rPr>
              <w:t>提供虚拟化主机安全防护，包含主机防病毒、主机防火墙、主机入侵防御、webshell检测、防暴力破解、安全基线、网卡流量统计七个功能</w:t>
            </w:r>
          </w:p>
        </w:tc>
        <w:tc>
          <w:tcPr>
            <w:tcW w:w="709" w:type="dxa"/>
            <w:noWrap/>
            <w:vAlign w:val="center"/>
          </w:tcPr>
          <w:p w14:paraId="469058B3">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6</w:t>
            </w:r>
          </w:p>
        </w:tc>
        <w:tc>
          <w:tcPr>
            <w:tcW w:w="803" w:type="dxa"/>
            <w:noWrap/>
            <w:vAlign w:val="center"/>
          </w:tcPr>
          <w:p w14:paraId="7C32BACD">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月</w:t>
            </w:r>
          </w:p>
        </w:tc>
      </w:tr>
      <w:tr w14:paraId="14F43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556" w:type="dxa"/>
            <w:noWrap w:val="0"/>
            <w:vAlign w:val="center"/>
          </w:tcPr>
          <w:p w14:paraId="274ED79F">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12</w:t>
            </w:r>
            <w:r>
              <w:rPr>
                <w:rFonts w:ascii="宋体" w:hAnsi="宋体" w:cs="宋体"/>
                <w:b w:val="0"/>
                <w:bCs w:val="0"/>
                <w:color w:val="auto"/>
                <w:sz w:val="24"/>
                <w:szCs w:val="24"/>
              </w:rPr>
              <w:t>4</w:t>
            </w:r>
          </w:p>
        </w:tc>
        <w:tc>
          <w:tcPr>
            <w:tcW w:w="836" w:type="dxa"/>
            <w:vMerge w:val="continue"/>
            <w:noWrap w:val="0"/>
            <w:vAlign w:val="center"/>
          </w:tcPr>
          <w:p w14:paraId="014523D7">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p>
        </w:tc>
        <w:tc>
          <w:tcPr>
            <w:tcW w:w="1303" w:type="dxa"/>
            <w:noWrap/>
            <w:vAlign w:val="center"/>
          </w:tcPr>
          <w:p w14:paraId="7B2D4328">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网络通信</w:t>
            </w:r>
          </w:p>
        </w:tc>
        <w:tc>
          <w:tcPr>
            <w:tcW w:w="5013" w:type="dxa"/>
            <w:noWrap w:val="0"/>
            <w:vAlign w:val="center"/>
          </w:tcPr>
          <w:p w14:paraId="49DB3E53">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含：IPV4 1个</w:t>
            </w:r>
            <w:r>
              <w:rPr>
                <w:rFonts w:hint="eastAsia" w:ascii="宋体" w:hAnsi="宋体" w:cs="宋体"/>
                <w:b w:val="0"/>
                <w:bCs w:val="0"/>
                <w:color w:val="auto"/>
                <w:sz w:val="24"/>
                <w:szCs w:val="24"/>
              </w:rPr>
              <w:br w:type="textWrapping"/>
            </w:r>
            <w:r>
              <w:rPr>
                <w:rFonts w:hint="eastAsia" w:ascii="宋体" w:hAnsi="宋体" w:cs="宋体"/>
                <w:b w:val="0"/>
                <w:bCs w:val="0"/>
                <w:color w:val="auto"/>
                <w:sz w:val="24"/>
                <w:szCs w:val="24"/>
              </w:rPr>
              <w:t>带宽：30M</w:t>
            </w:r>
          </w:p>
        </w:tc>
        <w:tc>
          <w:tcPr>
            <w:tcW w:w="709" w:type="dxa"/>
            <w:noWrap/>
            <w:vAlign w:val="center"/>
          </w:tcPr>
          <w:p w14:paraId="1D91F961">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 xml:space="preserve">6 </w:t>
            </w:r>
          </w:p>
        </w:tc>
        <w:tc>
          <w:tcPr>
            <w:tcW w:w="803" w:type="dxa"/>
            <w:noWrap/>
            <w:vAlign w:val="center"/>
          </w:tcPr>
          <w:p w14:paraId="58ABEECA">
            <w:pPr>
              <w:keepNext w:val="0"/>
              <w:keepLines w:val="0"/>
              <w:pageBreakBefore w:val="0"/>
              <w:widowControl w:val="0"/>
              <w:kinsoku/>
              <w:wordWrap/>
              <w:overflowPunct/>
              <w:topLinePunct w:val="0"/>
              <w:autoSpaceDE/>
              <w:autoSpaceDN/>
              <w:bidi w:val="0"/>
              <w:adjustRightInd/>
              <w:snapToGrid/>
              <w:textAlignment w:val="auto"/>
              <w:rPr>
                <w:rFonts w:ascii="宋体" w:hAnsi="宋体" w:cs="宋体"/>
                <w:b w:val="0"/>
                <w:bCs w:val="0"/>
                <w:color w:val="auto"/>
                <w:sz w:val="24"/>
                <w:szCs w:val="24"/>
              </w:rPr>
            </w:pPr>
            <w:r>
              <w:rPr>
                <w:rFonts w:hint="eastAsia" w:ascii="宋体" w:hAnsi="宋体" w:cs="宋体"/>
                <w:b w:val="0"/>
                <w:bCs w:val="0"/>
                <w:color w:val="auto"/>
                <w:sz w:val="24"/>
                <w:szCs w:val="24"/>
              </w:rPr>
              <w:t>月</w:t>
            </w:r>
          </w:p>
        </w:tc>
      </w:tr>
    </w:tbl>
    <w:p w14:paraId="17D0531A">
      <w:pPr>
        <w:numPr>
          <w:ilvl w:val="0"/>
          <w:numId w:val="0"/>
        </w:numPr>
        <w:ind w:leftChars="0" w:firstLine="560" w:firstLineChars="200"/>
        <w:rPr>
          <w:rFonts w:hint="eastAsia" w:eastAsia="宋体" w:cs="Times New Roman"/>
          <w:color w:val="auto"/>
          <w:sz w:val="28"/>
          <w:szCs w:val="36"/>
          <w:lang w:val="en-US" w:eastAsia="zh-CN"/>
        </w:rPr>
      </w:pPr>
      <w:r>
        <w:rPr>
          <w:rFonts w:hint="eastAsia" w:eastAsia="宋体" w:cs="Times New Roman"/>
          <w:color w:val="auto"/>
          <w:sz w:val="28"/>
          <w:szCs w:val="36"/>
          <w:lang w:val="en-US" w:eastAsia="zh-CN"/>
        </w:rPr>
        <w:t>备注：▲为重要技术参数；★为实质要求</w:t>
      </w:r>
    </w:p>
    <w:p w14:paraId="4152A4E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b/>
          <w:bCs/>
          <w:color w:val="auto"/>
          <w:sz w:val="32"/>
          <w:szCs w:val="32"/>
          <w:lang w:val="en-US" w:eastAsia="zh-CN"/>
        </w:rPr>
      </w:pPr>
    </w:p>
    <w:p w14:paraId="632DF870">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黑体" w:hAnsi="黑体" w:eastAsia="黑体" w:cs="黑体"/>
          <w:b/>
          <w:bCs/>
          <w:color w:val="auto"/>
          <w:sz w:val="32"/>
          <w:szCs w:val="32"/>
          <w:lang w:val="en-US" w:eastAsia="zh-CN"/>
        </w:rPr>
      </w:pPr>
      <w:r>
        <w:rPr>
          <w:rFonts w:hint="eastAsia" w:ascii="黑体" w:hAnsi="黑体" w:eastAsia="黑体" w:cs="黑体"/>
          <w:b/>
          <w:bCs/>
          <w:color w:val="auto"/>
          <w:sz w:val="32"/>
          <w:szCs w:val="32"/>
          <w:lang w:val="en-US" w:eastAsia="zh-CN"/>
        </w:rPr>
        <w:t>二、商务要求</w:t>
      </w:r>
    </w:p>
    <w:p w14:paraId="470976F5">
      <w:pPr>
        <w:pStyle w:val="8"/>
        <w:ind w:left="0" w:leftChars="0" w:firstLine="0" w:firstLineChars="0"/>
        <w:rPr>
          <w:rFonts w:hint="eastAsia" w:ascii="宋体" w:hAnsi="宋体" w:eastAsia="宋体" w:cs="宋体"/>
          <w:b w:val="0"/>
          <w:bCs w:val="0"/>
          <w:color w:val="auto"/>
          <w:kern w:val="2"/>
          <w:sz w:val="24"/>
          <w:szCs w:val="24"/>
          <w:lang w:val="en-US" w:eastAsia="zh-CN" w:bidi="ar-SA"/>
        </w:rPr>
      </w:pPr>
    </w:p>
    <w:p w14:paraId="7E9D52BD">
      <w:pPr>
        <w:numPr>
          <w:ilvl w:val="0"/>
          <w:numId w:val="1"/>
        </w:numPr>
        <w:ind w:left="0" w:leftChars="0" w:firstLine="0" w:firstLineChars="0"/>
        <w:rPr>
          <w:rFonts w:hint="default"/>
          <w:color w:val="auto"/>
          <w:sz w:val="28"/>
          <w:szCs w:val="36"/>
          <w:lang w:val="en-US" w:eastAsia="zh-CN"/>
        </w:rPr>
      </w:pPr>
      <w:r>
        <w:rPr>
          <w:rFonts w:hint="default"/>
          <w:color w:val="auto"/>
          <w:sz w:val="28"/>
          <w:szCs w:val="36"/>
          <w:lang w:val="en-US" w:eastAsia="zh-CN"/>
        </w:rPr>
        <w:t>交付周期要求</w:t>
      </w:r>
      <w:r>
        <w:rPr>
          <w:rFonts w:hint="eastAsia"/>
          <w:color w:val="auto"/>
          <w:sz w:val="28"/>
          <w:szCs w:val="36"/>
          <w:lang w:val="en-US" w:eastAsia="zh-CN"/>
        </w:rPr>
        <w:t>：合同签订后2个月完成项目实施交付，并通过验收。</w:t>
      </w:r>
    </w:p>
    <w:p w14:paraId="2152CEAE">
      <w:pPr>
        <w:numPr>
          <w:ilvl w:val="0"/>
          <w:numId w:val="1"/>
        </w:numPr>
        <w:ind w:left="0" w:leftChars="0" w:firstLine="0" w:firstLineChars="0"/>
        <w:rPr>
          <w:rFonts w:hint="default"/>
          <w:color w:val="auto"/>
          <w:sz w:val="28"/>
          <w:szCs w:val="36"/>
          <w:lang w:val="en-US" w:eastAsia="zh-CN"/>
        </w:rPr>
      </w:pPr>
      <w:r>
        <w:rPr>
          <w:rFonts w:hint="default"/>
          <w:color w:val="auto"/>
          <w:sz w:val="28"/>
          <w:szCs w:val="36"/>
          <w:lang w:val="en-US" w:eastAsia="zh-CN"/>
        </w:rPr>
        <w:t>交付地点</w:t>
      </w:r>
      <w:r>
        <w:rPr>
          <w:rFonts w:hint="eastAsia"/>
          <w:color w:val="auto"/>
          <w:sz w:val="28"/>
          <w:szCs w:val="36"/>
          <w:lang w:val="en-US" w:eastAsia="zh-CN"/>
        </w:rPr>
        <w:t>：采购人指定。</w:t>
      </w:r>
    </w:p>
    <w:p w14:paraId="5DA83F94">
      <w:pPr>
        <w:numPr>
          <w:ilvl w:val="0"/>
          <w:numId w:val="1"/>
        </w:numPr>
        <w:ind w:left="0" w:leftChars="0" w:firstLine="0" w:firstLineChars="0"/>
        <w:rPr>
          <w:rFonts w:hint="default" w:eastAsia="宋体" w:cs="Times New Roman"/>
          <w:color w:val="auto"/>
          <w:sz w:val="28"/>
          <w:szCs w:val="36"/>
          <w:lang w:val="en-US" w:eastAsia="zh-CN"/>
        </w:rPr>
      </w:pPr>
      <w:r>
        <w:rPr>
          <w:rFonts w:hint="eastAsia" w:eastAsia="宋体" w:cs="Times New Roman"/>
          <w:color w:val="auto"/>
          <w:sz w:val="28"/>
          <w:szCs w:val="36"/>
          <w:lang w:val="en-US" w:eastAsia="zh-CN"/>
        </w:rPr>
        <w:t>质量要求：</w:t>
      </w:r>
    </w:p>
    <w:p w14:paraId="50B3C0CF">
      <w:pPr>
        <w:numPr>
          <w:ilvl w:val="0"/>
          <w:numId w:val="2"/>
        </w:numPr>
        <w:ind w:leftChars="0"/>
        <w:rPr>
          <w:rFonts w:hint="eastAsia" w:eastAsia="宋体" w:cs="Times New Roman"/>
          <w:color w:val="auto"/>
          <w:sz w:val="28"/>
          <w:szCs w:val="36"/>
          <w:lang w:val="en-US" w:eastAsia="zh-CN"/>
        </w:rPr>
      </w:pPr>
      <w:r>
        <w:rPr>
          <w:rFonts w:hint="eastAsia" w:eastAsia="宋体" w:cs="Times New Roman"/>
          <w:color w:val="auto"/>
          <w:sz w:val="28"/>
          <w:szCs w:val="36"/>
          <w:lang w:val="en-US" w:eastAsia="zh-CN"/>
        </w:rPr>
        <w:t>功能质量要求：满足技术清单15个一级功能模块、117个功能点，功能符合性以附件一功能清单为准逐项核验，</w:t>
      </w:r>
      <w:r>
        <w:rPr>
          <w:rFonts w:ascii="Segoe UI" w:hAnsi="Segoe UI" w:eastAsia="Segoe UI" w:cs="Segoe UI"/>
          <w:i w:val="0"/>
          <w:iCs w:val="0"/>
          <w:caps w:val="0"/>
          <w:color w:val="auto"/>
          <w:spacing w:val="0"/>
          <w:sz w:val="24"/>
          <w:szCs w:val="24"/>
          <w:shd w:val="clear" w:color="auto" w:fill="FFFFFF"/>
        </w:rPr>
        <w:t>系统须实现核心业务流程闭环，包括市场线、</w:t>
      </w:r>
      <w:r>
        <w:rPr>
          <w:rFonts w:hint="eastAsia" w:eastAsia="宋体" w:cs="Times New Roman"/>
          <w:color w:val="auto"/>
          <w:sz w:val="28"/>
          <w:szCs w:val="36"/>
          <w:lang w:val="en-US" w:eastAsia="zh-CN"/>
        </w:rPr>
        <w:t>交付线、资金与业财线、成本线各业务链路的数据联动与状态回写</w:t>
      </w:r>
    </w:p>
    <w:p w14:paraId="17D2F0BC">
      <w:pPr>
        <w:numPr>
          <w:ilvl w:val="0"/>
          <w:numId w:val="2"/>
        </w:numPr>
        <w:ind w:leftChars="0"/>
        <w:rPr>
          <w:rFonts w:hint="default" w:eastAsia="宋体" w:cs="Times New Roman"/>
          <w:color w:val="auto"/>
          <w:sz w:val="28"/>
          <w:szCs w:val="36"/>
          <w:lang w:val="en-US" w:eastAsia="zh-CN"/>
        </w:rPr>
      </w:pPr>
      <w:r>
        <w:rPr>
          <w:rFonts w:hint="default" w:eastAsia="宋体" w:cs="Times New Roman"/>
          <w:color w:val="auto"/>
          <w:sz w:val="28"/>
          <w:szCs w:val="36"/>
          <w:lang w:val="en-US" w:eastAsia="zh-CN"/>
        </w:rPr>
        <w:t>技术质量要求</w:t>
      </w:r>
      <w:r>
        <w:rPr>
          <w:rFonts w:hint="eastAsia" w:eastAsia="宋体" w:cs="Times New Roman"/>
          <w:color w:val="auto"/>
          <w:sz w:val="28"/>
          <w:szCs w:val="36"/>
          <w:lang w:val="en-US" w:eastAsia="zh-CN"/>
        </w:rPr>
        <w:t>：采用成熟稳定的分层架构，应用与数据库分离部署，支持横向扩展。内置可视化流程引擎，支持直通、分流、条件流转，支持串签、并签，支持节点停留时长与超期提醒、按条件分支跳转。内置表单引擎，支持Web端可视化零编码设计与数据源关联。统一消息中心，覆盖站内消息、移动端推送与短信提醒。统一权限模型，支持组织、角色、岗位与业务数据权限的多维度组合授权。</w:t>
      </w:r>
    </w:p>
    <w:p w14:paraId="4A064209">
      <w:pPr>
        <w:numPr>
          <w:ilvl w:val="0"/>
          <w:numId w:val="2"/>
        </w:numPr>
        <w:ind w:leftChars="0"/>
        <w:rPr>
          <w:rFonts w:hint="default"/>
          <w:color w:val="auto"/>
          <w:lang w:val="en-US" w:eastAsia="zh-CN"/>
        </w:rPr>
      </w:pPr>
      <w:r>
        <w:rPr>
          <w:rFonts w:hint="default" w:eastAsia="宋体" w:cs="Times New Roman"/>
          <w:color w:val="auto"/>
          <w:sz w:val="28"/>
          <w:szCs w:val="36"/>
          <w:lang w:val="en-US" w:eastAsia="zh-CN"/>
        </w:rPr>
        <w:t>性能质量要求</w:t>
      </w:r>
      <w:r>
        <w:rPr>
          <w:rFonts w:hint="eastAsia" w:eastAsia="宋体" w:cs="Times New Roman"/>
          <w:color w:val="auto"/>
          <w:sz w:val="28"/>
          <w:szCs w:val="36"/>
          <w:lang w:val="en-US" w:eastAsia="zh-CN"/>
        </w:rPr>
        <w:t>：</w:t>
      </w:r>
      <w:r>
        <w:rPr>
          <w:rFonts w:hint="eastAsia" w:ascii="宋体" w:hAnsi="宋体" w:eastAsia="宋体" w:cs="宋体"/>
          <w:i w:val="0"/>
          <w:iCs w:val="0"/>
          <w:caps w:val="0"/>
          <w:color w:val="auto"/>
          <w:spacing w:val="0"/>
          <w:kern w:val="0"/>
          <w:sz w:val="28"/>
          <w:szCs w:val="28"/>
          <w:lang w:val="en-US" w:eastAsia="zh-CN" w:bidi="ar"/>
        </w:rPr>
        <w:t>支持不低于100个注册授权账号日常并发办公；页面打开与数据提交≤3秒，项目收支与成本统计查询≤10秒，项目成本汇总表导出≤30秒，工作日办公时段可用率≥99%。</w:t>
      </w:r>
    </w:p>
    <w:p w14:paraId="066987EC">
      <w:pPr>
        <w:numPr>
          <w:ilvl w:val="0"/>
          <w:numId w:val="2"/>
        </w:numPr>
        <w:ind w:leftChars="0"/>
        <w:rPr>
          <w:rFonts w:hint="default" w:ascii="Calibri" w:hAnsi="Calibri" w:eastAsia="宋体" w:cs="Times New Roman"/>
          <w:color w:val="auto"/>
          <w:kern w:val="2"/>
          <w:sz w:val="28"/>
          <w:szCs w:val="36"/>
          <w:lang w:val="en-US" w:eastAsia="zh-CN" w:bidi="ar-SA"/>
        </w:rPr>
      </w:pPr>
      <w:r>
        <w:rPr>
          <w:rFonts w:hint="eastAsia" w:eastAsia="宋体" w:cs="Times New Roman"/>
          <w:color w:val="auto"/>
          <w:sz w:val="28"/>
          <w:szCs w:val="36"/>
          <w:lang w:val="en-US" w:eastAsia="zh-CN"/>
        </w:rPr>
        <w:t>安全</w:t>
      </w:r>
      <w:r>
        <w:rPr>
          <w:rFonts w:hint="default" w:eastAsia="宋体" w:cs="Times New Roman"/>
          <w:color w:val="auto"/>
          <w:sz w:val="28"/>
          <w:szCs w:val="36"/>
          <w:lang w:val="en-US" w:eastAsia="zh-CN"/>
        </w:rPr>
        <w:t>质量要求</w:t>
      </w:r>
      <w:r>
        <w:rPr>
          <w:rFonts w:hint="eastAsia" w:eastAsia="宋体" w:cs="Times New Roman"/>
          <w:color w:val="auto"/>
          <w:sz w:val="28"/>
          <w:szCs w:val="36"/>
          <w:lang w:val="en-US" w:eastAsia="zh-CN"/>
        </w:rPr>
        <w:t>：</w:t>
      </w:r>
      <w:r>
        <w:rPr>
          <w:rFonts w:hint="default" w:ascii="Calibri" w:hAnsi="Calibri" w:eastAsia="宋体" w:cs="Times New Roman"/>
          <w:color w:val="auto"/>
          <w:kern w:val="2"/>
          <w:sz w:val="28"/>
          <w:szCs w:val="36"/>
          <w:lang w:val="en-US" w:eastAsia="zh-CN" w:bidi="ar-SA"/>
        </w:rPr>
        <w:t>具备防XSS、SQL注入等攻击防护能力。按角色、部门、数据范围分级授权，敏感操作与敏感数据单独授权。全流程操作留痕，关键审批与变更可追溯。门户内容按权限发布与展示，未经授权不可见。数据库支持定期备份与容灾，支持全备份与增量备份，备份策略不得影响系统正常运行性能。</w:t>
      </w:r>
    </w:p>
    <w:p w14:paraId="2EA05443">
      <w:pPr>
        <w:numPr>
          <w:ilvl w:val="0"/>
          <w:numId w:val="2"/>
        </w:numPr>
        <w:ind w:leftChars="0"/>
        <w:rPr>
          <w:rFonts w:hint="eastAsia" w:ascii="Calibri" w:hAnsi="Calibri" w:eastAsia="宋体" w:cs="Times New Roman"/>
          <w:color w:val="auto"/>
          <w:kern w:val="2"/>
          <w:sz w:val="28"/>
          <w:szCs w:val="36"/>
          <w:lang w:val="en-US" w:eastAsia="zh-CN" w:bidi="ar-SA"/>
        </w:rPr>
      </w:pPr>
      <w:r>
        <w:rPr>
          <w:rFonts w:hint="default" w:eastAsia="宋体" w:cs="Times New Roman"/>
          <w:color w:val="auto"/>
          <w:sz w:val="28"/>
          <w:szCs w:val="36"/>
          <w:lang w:val="en-US" w:eastAsia="zh-CN"/>
        </w:rPr>
        <w:t> 兼容性与国产化要求</w:t>
      </w:r>
      <w:r>
        <w:rPr>
          <w:rFonts w:hint="eastAsia" w:eastAsia="宋体" w:cs="Times New Roman"/>
          <w:color w:val="auto"/>
          <w:sz w:val="28"/>
          <w:szCs w:val="36"/>
          <w:lang w:val="en-US" w:eastAsia="zh-CN"/>
        </w:rPr>
        <w:t>：</w:t>
      </w:r>
      <w:r>
        <w:rPr>
          <w:rFonts w:hint="default" w:ascii="Calibri" w:hAnsi="Calibri" w:eastAsia="宋体" w:cs="Times New Roman"/>
          <w:color w:val="auto"/>
          <w:kern w:val="2"/>
          <w:sz w:val="28"/>
          <w:szCs w:val="36"/>
          <w:lang w:val="en-US" w:eastAsia="zh-CN" w:bidi="ar-SA"/>
        </w:rPr>
        <w:t>PC端兼容主流浏览器；移动端覆盖Android与iOS。附件支持PDF、Word、图片等常用格式在线预览</w:t>
      </w:r>
      <w:r>
        <w:rPr>
          <w:rFonts w:hint="eastAsia" w:ascii="Calibri" w:hAnsi="Calibri" w:eastAsia="宋体" w:cs="Times New Roman"/>
          <w:color w:val="auto"/>
          <w:kern w:val="2"/>
          <w:sz w:val="28"/>
          <w:szCs w:val="36"/>
          <w:lang w:val="en-US" w:eastAsia="zh-CN" w:bidi="ar-SA"/>
        </w:rPr>
        <w:t>、</w:t>
      </w:r>
      <w:r>
        <w:rPr>
          <w:rFonts w:hint="default" w:ascii="Calibri" w:hAnsi="Calibri" w:eastAsia="宋体" w:cs="Times New Roman"/>
          <w:color w:val="auto"/>
          <w:kern w:val="2"/>
          <w:sz w:val="28"/>
          <w:szCs w:val="36"/>
          <w:lang w:val="en-US" w:eastAsia="zh-CN" w:bidi="ar-SA"/>
        </w:rPr>
        <w:t>数据库与操作系统选型预留国产化适配能力</w:t>
      </w:r>
    </w:p>
    <w:p w14:paraId="005DDDA2">
      <w:pPr>
        <w:numPr>
          <w:ilvl w:val="0"/>
          <w:numId w:val="1"/>
        </w:numPr>
        <w:ind w:left="0" w:leftChars="0" w:firstLine="0" w:firstLineChars="0"/>
        <w:rPr>
          <w:rFonts w:hint="eastAsia" w:eastAsia="宋体" w:cs="Times New Roman"/>
          <w:b/>
          <w:bCs/>
          <w:color w:val="auto"/>
          <w:sz w:val="28"/>
          <w:szCs w:val="36"/>
          <w:lang w:val="en-US" w:eastAsia="zh-CN"/>
        </w:rPr>
      </w:pPr>
      <w:r>
        <w:rPr>
          <w:rFonts w:hint="default" w:eastAsia="宋体" w:cs="Times New Roman"/>
          <w:b/>
          <w:bCs/>
          <w:color w:val="auto"/>
          <w:sz w:val="28"/>
          <w:szCs w:val="36"/>
          <w:lang w:val="en-US" w:eastAsia="zh-CN"/>
        </w:rPr>
        <w:t>售后服务要求</w:t>
      </w:r>
    </w:p>
    <w:p w14:paraId="05A66734">
      <w:pPr>
        <w:numPr>
          <w:ilvl w:val="0"/>
          <w:numId w:val="3"/>
        </w:numPr>
        <w:ind w:leftChars="0"/>
        <w:rPr>
          <w:rFonts w:hint="eastAsia" w:ascii="Calibri" w:hAnsi="Calibri" w:eastAsia="宋体" w:cs="Times New Roman"/>
          <w:color w:val="auto"/>
          <w:kern w:val="2"/>
          <w:sz w:val="28"/>
          <w:szCs w:val="36"/>
          <w:lang w:val="en-US" w:eastAsia="zh-CN" w:bidi="ar-SA"/>
        </w:rPr>
      </w:pPr>
      <w:r>
        <w:rPr>
          <w:rFonts w:hint="default" w:eastAsia="宋体" w:cs="Times New Roman"/>
          <w:color w:val="auto"/>
          <w:sz w:val="28"/>
          <w:szCs w:val="36"/>
          <w:lang w:val="en-US" w:eastAsia="zh-CN"/>
        </w:rPr>
        <w:t> </w:t>
      </w:r>
      <w:r>
        <w:rPr>
          <w:rFonts w:hint="eastAsia" w:eastAsia="宋体" w:cs="Times New Roman"/>
          <w:color w:val="auto"/>
          <w:sz w:val="28"/>
          <w:szCs w:val="36"/>
          <w:lang w:val="en-US" w:eastAsia="zh-CN"/>
        </w:rPr>
        <w:t>售后服务周期：自验收后1年。</w:t>
      </w:r>
    </w:p>
    <w:p w14:paraId="21C4ED27">
      <w:pPr>
        <w:numPr>
          <w:ilvl w:val="0"/>
          <w:numId w:val="3"/>
        </w:numPr>
        <w:ind w:leftChars="0"/>
        <w:rPr>
          <w:rFonts w:hint="eastAsia" w:ascii="Calibri" w:hAnsi="Calibri" w:eastAsia="宋体" w:cs="Times New Roman"/>
          <w:color w:val="auto"/>
          <w:kern w:val="2"/>
          <w:sz w:val="28"/>
          <w:szCs w:val="36"/>
          <w:lang w:val="en-US" w:eastAsia="zh-CN" w:bidi="ar-SA"/>
        </w:rPr>
      </w:pPr>
      <w:r>
        <w:rPr>
          <w:rFonts w:hint="default" w:eastAsia="宋体" w:cs="Times New Roman"/>
          <w:color w:val="auto"/>
          <w:sz w:val="28"/>
          <w:szCs w:val="36"/>
          <w:lang w:val="en-US" w:eastAsia="zh-CN"/>
        </w:rPr>
        <w:t> </w:t>
      </w:r>
      <w:r>
        <w:rPr>
          <w:rFonts w:hint="eastAsia" w:eastAsia="宋体" w:cs="Times New Roman"/>
          <w:color w:val="auto"/>
          <w:sz w:val="28"/>
          <w:szCs w:val="36"/>
          <w:lang w:val="en-US" w:eastAsia="zh-CN"/>
        </w:rPr>
        <w:t>运维保障内容：见下表。</w:t>
      </w:r>
    </w:p>
    <w:tbl>
      <w:tblPr>
        <w:tblStyle w:val="10"/>
        <w:tblW w:w="9070" w:type="dxa"/>
        <w:tblInd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autofit"/>
        <w:tblCellMar>
          <w:top w:w="15" w:type="dxa"/>
          <w:left w:w="15" w:type="dxa"/>
          <w:bottom w:w="15" w:type="dxa"/>
          <w:right w:w="15" w:type="dxa"/>
        </w:tblCellMar>
      </w:tblPr>
      <w:tblGrid>
        <w:gridCol w:w="1678"/>
        <w:gridCol w:w="2335"/>
        <w:gridCol w:w="5057"/>
      </w:tblGrid>
      <w:tr w14:paraId="38557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blHeader/>
        </w:trPr>
        <w:tc>
          <w:tcPr>
            <w:tcW w:w="1678" w:type="dxa"/>
            <w:shd w:val="clear" w:color="auto" w:fill="FFFFFF"/>
            <w:noWrap w:val="0"/>
            <w:tcMar>
              <w:top w:w="150" w:type="dxa"/>
              <w:left w:w="0" w:type="dxa"/>
              <w:bottom w:w="150" w:type="dxa"/>
              <w:right w:w="240" w:type="dxa"/>
            </w:tcMar>
            <w:vAlign w:val="center"/>
          </w:tcPr>
          <w:p w14:paraId="7FBC929C">
            <w:pPr>
              <w:keepNext w:val="0"/>
              <w:keepLines w:val="0"/>
              <w:widowControl/>
              <w:suppressLineNumbers w:val="0"/>
              <w:ind w:left="0" w:leftChars="0" w:right="0" w:rightChars="0" w:firstLine="0" w:firstLineChars="0"/>
              <w:jc w:val="left"/>
              <w:rPr>
                <w:rFonts w:hint="eastAsia" w:ascii="宋体" w:hAnsi="宋体" w:eastAsia="宋体" w:cs="宋体"/>
                <w:b/>
                <w:bCs/>
                <w:i w:val="0"/>
                <w:iCs w:val="0"/>
                <w:caps w:val="0"/>
                <w:color w:val="auto"/>
                <w:spacing w:val="0"/>
                <w:sz w:val="24"/>
                <w:szCs w:val="24"/>
              </w:rPr>
            </w:pPr>
            <w:r>
              <w:rPr>
                <w:rFonts w:hint="eastAsia" w:ascii="宋体" w:hAnsi="宋体" w:eastAsia="宋体" w:cs="宋体"/>
                <w:b/>
                <w:bCs/>
                <w:i w:val="0"/>
                <w:iCs w:val="0"/>
                <w:caps w:val="0"/>
                <w:color w:val="auto"/>
                <w:spacing w:val="0"/>
                <w:kern w:val="0"/>
                <w:sz w:val="24"/>
                <w:szCs w:val="24"/>
                <w:lang w:val="en-US" w:eastAsia="zh-CN" w:bidi="ar"/>
              </w:rPr>
              <w:t>服务内容</w:t>
            </w:r>
          </w:p>
        </w:tc>
        <w:tc>
          <w:tcPr>
            <w:tcW w:w="2335" w:type="dxa"/>
            <w:shd w:val="clear" w:color="auto" w:fill="FFFFFF"/>
            <w:noWrap w:val="0"/>
            <w:tcMar>
              <w:top w:w="150" w:type="dxa"/>
              <w:left w:w="240" w:type="dxa"/>
              <w:bottom w:w="150" w:type="dxa"/>
              <w:right w:w="240" w:type="dxa"/>
            </w:tcMar>
            <w:vAlign w:val="center"/>
          </w:tcPr>
          <w:p w14:paraId="483B5A3B">
            <w:pPr>
              <w:keepNext w:val="0"/>
              <w:keepLines w:val="0"/>
              <w:widowControl/>
              <w:suppressLineNumbers w:val="0"/>
              <w:ind w:left="0" w:leftChars="0" w:right="0" w:rightChars="0" w:firstLine="0" w:firstLineChars="0"/>
              <w:jc w:val="left"/>
              <w:rPr>
                <w:rFonts w:hint="eastAsia" w:ascii="宋体" w:hAnsi="宋体" w:eastAsia="宋体" w:cs="宋体"/>
                <w:b/>
                <w:bCs/>
                <w:i w:val="0"/>
                <w:iCs w:val="0"/>
                <w:caps w:val="0"/>
                <w:color w:val="auto"/>
                <w:spacing w:val="0"/>
                <w:sz w:val="24"/>
                <w:szCs w:val="24"/>
              </w:rPr>
            </w:pPr>
            <w:r>
              <w:rPr>
                <w:rFonts w:hint="eastAsia" w:ascii="宋体" w:hAnsi="宋体" w:eastAsia="宋体" w:cs="宋体"/>
                <w:b/>
                <w:bCs/>
                <w:i w:val="0"/>
                <w:iCs w:val="0"/>
                <w:caps w:val="0"/>
                <w:color w:val="auto"/>
                <w:spacing w:val="0"/>
                <w:kern w:val="0"/>
                <w:sz w:val="24"/>
                <w:szCs w:val="24"/>
                <w:lang w:val="en-US" w:eastAsia="zh-CN" w:bidi="ar"/>
              </w:rPr>
              <w:t>方式</w:t>
            </w:r>
          </w:p>
        </w:tc>
        <w:tc>
          <w:tcPr>
            <w:tcW w:w="5057" w:type="dxa"/>
            <w:shd w:val="clear" w:color="auto" w:fill="FFFFFF"/>
            <w:noWrap w:val="0"/>
            <w:tcMar>
              <w:top w:w="150" w:type="dxa"/>
              <w:left w:w="240" w:type="dxa"/>
              <w:bottom w:w="150" w:type="dxa"/>
              <w:right w:w="240" w:type="dxa"/>
            </w:tcMar>
            <w:vAlign w:val="center"/>
          </w:tcPr>
          <w:p w14:paraId="2E673C25">
            <w:pPr>
              <w:keepNext w:val="0"/>
              <w:keepLines w:val="0"/>
              <w:widowControl/>
              <w:suppressLineNumbers w:val="0"/>
              <w:ind w:left="0" w:leftChars="0" w:right="0" w:rightChars="0" w:firstLine="0" w:firstLineChars="0"/>
              <w:jc w:val="left"/>
              <w:rPr>
                <w:rFonts w:hint="eastAsia" w:ascii="宋体" w:hAnsi="宋体" w:eastAsia="宋体" w:cs="宋体"/>
                <w:b/>
                <w:bCs/>
                <w:i w:val="0"/>
                <w:iCs w:val="0"/>
                <w:caps w:val="0"/>
                <w:color w:val="auto"/>
                <w:spacing w:val="0"/>
                <w:sz w:val="24"/>
                <w:szCs w:val="24"/>
              </w:rPr>
            </w:pPr>
            <w:r>
              <w:rPr>
                <w:rFonts w:hint="eastAsia" w:ascii="宋体" w:hAnsi="宋体" w:eastAsia="宋体" w:cs="宋体"/>
                <w:b/>
                <w:bCs/>
                <w:i w:val="0"/>
                <w:iCs w:val="0"/>
                <w:caps w:val="0"/>
                <w:color w:val="auto"/>
                <w:spacing w:val="0"/>
                <w:kern w:val="0"/>
                <w:sz w:val="24"/>
                <w:szCs w:val="24"/>
                <w:lang w:val="en-US" w:eastAsia="zh-CN" w:bidi="ar"/>
              </w:rPr>
              <w:t>服务标准</w:t>
            </w:r>
          </w:p>
        </w:tc>
      </w:tr>
      <w:tr w14:paraId="2BAE4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c>
          <w:tcPr>
            <w:tcW w:w="1678" w:type="dxa"/>
            <w:shd w:val="clear" w:color="auto" w:fill="FFFFFF"/>
            <w:noWrap w:val="0"/>
            <w:tcMar>
              <w:top w:w="150" w:type="dxa"/>
              <w:left w:w="0" w:type="dxa"/>
              <w:bottom w:w="150" w:type="dxa"/>
              <w:right w:w="240" w:type="dxa"/>
            </w:tcMar>
            <w:vAlign w:val="center"/>
          </w:tcPr>
          <w:p w14:paraId="223CF15D">
            <w:pPr>
              <w:keepNext w:val="0"/>
              <w:keepLines w:val="0"/>
              <w:widowControl/>
              <w:suppressLineNumbers w:val="0"/>
              <w:ind w:left="0" w:leftChars="0" w:right="0" w:rightChars="0" w:firstLine="0" w:firstLineChars="0"/>
              <w:jc w:val="left"/>
              <w:rPr>
                <w:rFonts w:hint="eastAsia" w:ascii="宋体" w:hAnsi="宋体" w:eastAsia="宋体" w:cs="宋体"/>
                <w:i w:val="0"/>
                <w:iCs w:val="0"/>
                <w:caps w:val="0"/>
                <w:color w:val="auto"/>
                <w:spacing w:val="0"/>
                <w:sz w:val="24"/>
                <w:szCs w:val="24"/>
              </w:rPr>
            </w:pPr>
            <w:r>
              <w:rPr>
                <w:rFonts w:hint="eastAsia" w:ascii="宋体" w:hAnsi="宋体" w:eastAsia="宋体" w:cs="宋体"/>
                <w:i w:val="0"/>
                <w:iCs w:val="0"/>
                <w:caps w:val="0"/>
                <w:color w:val="auto"/>
                <w:spacing w:val="0"/>
                <w:kern w:val="0"/>
                <w:sz w:val="24"/>
                <w:szCs w:val="24"/>
                <w:lang w:val="en-US" w:eastAsia="zh-CN" w:bidi="ar"/>
              </w:rPr>
              <w:t>故障处理</w:t>
            </w:r>
          </w:p>
        </w:tc>
        <w:tc>
          <w:tcPr>
            <w:tcW w:w="2335" w:type="dxa"/>
            <w:shd w:val="clear" w:color="auto" w:fill="FFFFFF"/>
            <w:noWrap w:val="0"/>
            <w:tcMar>
              <w:top w:w="150" w:type="dxa"/>
              <w:left w:w="240" w:type="dxa"/>
              <w:bottom w:w="150" w:type="dxa"/>
              <w:right w:w="240" w:type="dxa"/>
            </w:tcMar>
            <w:vAlign w:val="center"/>
          </w:tcPr>
          <w:p w14:paraId="76A8FF76">
            <w:pPr>
              <w:keepNext w:val="0"/>
              <w:keepLines w:val="0"/>
              <w:widowControl/>
              <w:suppressLineNumbers w:val="0"/>
              <w:ind w:left="0" w:leftChars="0" w:right="0" w:rightChars="0" w:firstLine="0" w:firstLineChars="0"/>
              <w:jc w:val="left"/>
              <w:rPr>
                <w:rFonts w:hint="eastAsia" w:ascii="宋体" w:hAnsi="宋体" w:eastAsia="宋体" w:cs="宋体"/>
                <w:i w:val="0"/>
                <w:iCs w:val="0"/>
                <w:caps w:val="0"/>
                <w:color w:val="auto"/>
                <w:spacing w:val="0"/>
                <w:sz w:val="24"/>
                <w:szCs w:val="24"/>
              </w:rPr>
            </w:pPr>
            <w:r>
              <w:rPr>
                <w:rFonts w:hint="eastAsia" w:ascii="宋体" w:hAnsi="宋体" w:eastAsia="宋体" w:cs="宋体"/>
                <w:i w:val="0"/>
                <w:iCs w:val="0"/>
                <w:caps w:val="0"/>
                <w:color w:val="auto"/>
                <w:spacing w:val="0"/>
                <w:kern w:val="0"/>
                <w:sz w:val="24"/>
                <w:szCs w:val="24"/>
                <w:lang w:val="en-US" w:eastAsia="zh-CN" w:bidi="ar"/>
              </w:rPr>
              <w:t>远程或现场</w:t>
            </w:r>
          </w:p>
        </w:tc>
        <w:tc>
          <w:tcPr>
            <w:tcW w:w="5057" w:type="dxa"/>
            <w:shd w:val="clear" w:color="auto" w:fill="FFFFFF"/>
            <w:noWrap w:val="0"/>
            <w:tcMar>
              <w:top w:w="150" w:type="dxa"/>
              <w:left w:w="240" w:type="dxa"/>
              <w:bottom w:w="150" w:type="dxa"/>
              <w:right w:w="0" w:type="dxa"/>
            </w:tcMar>
            <w:vAlign w:val="center"/>
          </w:tcPr>
          <w:p w14:paraId="3D83761D">
            <w:pPr>
              <w:keepNext w:val="0"/>
              <w:keepLines w:val="0"/>
              <w:widowControl/>
              <w:suppressLineNumbers w:val="0"/>
              <w:ind w:left="0" w:leftChars="0" w:right="0" w:rightChars="0" w:firstLine="0" w:firstLineChars="0"/>
              <w:jc w:val="left"/>
              <w:rPr>
                <w:rFonts w:hint="eastAsia" w:ascii="宋体" w:hAnsi="宋体" w:eastAsia="宋体" w:cs="宋体"/>
                <w:i w:val="0"/>
                <w:iCs w:val="0"/>
                <w:caps w:val="0"/>
                <w:color w:val="auto"/>
                <w:spacing w:val="0"/>
                <w:sz w:val="24"/>
                <w:szCs w:val="24"/>
              </w:rPr>
            </w:pPr>
            <w:r>
              <w:rPr>
                <w:rFonts w:hint="eastAsia" w:ascii="宋体" w:hAnsi="宋体" w:eastAsia="宋体" w:cs="宋体"/>
                <w:i w:val="0"/>
                <w:iCs w:val="0"/>
                <w:caps w:val="0"/>
                <w:color w:val="auto"/>
                <w:spacing w:val="0"/>
                <w:kern w:val="0"/>
                <w:sz w:val="24"/>
                <w:szCs w:val="24"/>
                <w:lang w:val="en-US" w:eastAsia="zh-CN" w:bidi="ar"/>
              </w:rPr>
              <w:t>7×24受理，1小时内响应并初次答复</w:t>
            </w:r>
          </w:p>
        </w:tc>
      </w:tr>
      <w:tr w14:paraId="364CB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c>
          <w:tcPr>
            <w:tcW w:w="1678" w:type="dxa"/>
            <w:shd w:val="clear" w:color="auto" w:fill="FFFFFF"/>
            <w:noWrap w:val="0"/>
            <w:tcMar>
              <w:top w:w="150" w:type="dxa"/>
              <w:left w:w="0" w:type="dxa"/>
              <w:bottom w:w="150" w:type="dxa"/>
              <w:right w:w="240" w:type="dxa"/>
            </w:tcMar>
            <w:vAlign w:val="center"/>
          </w:tcPr>
          <w:p w14:paraId="0B1F51D9">
            <w:pPr>
              <w:keepNext w:val="0"/>
              <w:keepLines w:val="0"/>
              <w:widowControl/>
              <w:suppressLineNumbers w:val="0"/>
              <w:ind w:left="0" w:leftChars="0" w:right="0" w:rightChars="0" w:firstLine="0" w:firstLineChars="0"/>
              <w:jc w:val="left"/>
              <w:rPr>
                <w:rFonts w:hint="eastAsia" w:ascii="宋体" w:hAnsi="宋体" w:eastAsia="宋体" w:cs="宋体"/>
                <w:i w:val="0"/>
                <w:iCs w:val="0"/>
                <w:caps w:val="0"/>
                <w:color w:val="auto"/>
                <w:spacing w:val="0"/>
                <w:sz w:val="24"/>
                <w:szCs w:val="24"/>
              </w:rPr>
            </w:pPr>
            <w:r>
              <w:rPr>
                <w:rFonts w:hint="eastAsia" w:ascii="宋体" w:hAnsi="宋体" w:eastAsia="宋体" w:cs="宋体"/>
                <w:i w:val="0"/>
                <w:iCs w:val="0"/>
                <w:caps w:val="0"/>
                <w:color w:val="auto"/>
                <w:spacing w:val="0"/>
                <w:kern w:val="0"/>
                <w:sz w:val="24"/>
                <w:szCs w:val="24"/>
                <w:lang w:val="en-US" w:eastAsia="zh-CN" w:bidi="ar"/>
              </w:rPr>
              <w:t>问题解答</w:t>
            </w:r>
          </w:p>
        </w:tc>
        <w:tc>
          <w:tcPr>
            <w:tcW w:w="2335" w:type="dxa"/>
            <w:shd w:val="clear" w:color="auto" w:fill="FFFFFF"/>
            <w:noWrap w:val="0"/>
            <w:tcMar>
              <w:top w:w="150" w:type="dxa"/>
              <w:left w:w="240" w:type="dxa"/>
              <w:bottom w:w="150" w:type="dxa"/>
              <w:right w:w="240" w:type="dxa"/>
            </w:tcMar>
            <w:vAlign w:val="center"/>
          </w:tcPr>
          <w:p w14:paraId="17002408">
            <w:pPr>
              <w:keepNext w:val="0"/>
              <w:keepLines w:val="0"/>
              <w:widowControl/>
              <w:suppressLineNumbers w:val="0"/>
              <w:ind w:left="0" w:leftChars="0" w:right="0" w:rightChars="0" w:firstLine="0" w:firstLineChars="0"/>
              <w:jc w:val="left"/>
              <w:rPr>
                <w:rFonts w:hint="eastAsia" w:ascii="宋体" w:hAnsi="宋体" w:eastAsia="宋体" w:cs="宋体"/>
                <w:i w:val="0"/>
                <w:iCs w:val="0"/>
                <w:caps w:val="0"/>
                <w:color w:val="auto"/>
                <w:spacing w:val="0"/>
                <w:sz w:val="24"/>
                <w:szCs w:val="24"/>
              </w:rPr>
            </w:pPr>
            <w:r>
              <w:rPr>
                <w:rFonts w:hint="eastAsia" w:ascii="宋体" w:hAnsi="宋体" w:eastAsia="宋体" w:cs="宋体"/>
                <w:i w:val="0"/>
                <w:iCs w:val="0"/>
                <w:caps w:val="0"/>
                <w:color w:val="auto"/>
                <w:spacing w:val="0"/>
                <w:kern w:val="0"/>
                <w:sz w:val="24"/>
                <w:szCs w:val="24"/>
                <w:lang w:val="en-US" w:eastAsia="zh-CN" w:bidi="ar"/>
              </w:rPr>
              <w:t>邮件、电话</w:t>
            </w:r>
          </w:p>
        </w:tc>
        <w:tc>
          <w:tcPr>
            <w:tcW w:w="5057" w:type="dxa"/>
            <w:shd w:val="clear" w:color="auto" w:fill="FFFFFF"/>
            <w:noWrap w:val="0"/>
            <w:tcMar>
              <w:top w:w="150" w:type="dxa"/>
              <w:left w:w="240" w:type="dxa"/>
              <w:bottom w:w="150" w:type="dxa"/>
              <w:right w:w="0" w:type="dxa"/>
            </w:tcMar>
            <w:vAlign w:val="center"/>
          </w:tcPr>
          <w:p w14:paraId="4E6F17E6">
            <w:pPr>
              <w:keepNext w:val="0"/>
              <w:keepLines w:val="0"/>
              <w:widowControl/>
              <w:suppressLineNumbers w:val="0"/>
              <w:ind w:left="0" w:leftChars="0" w:right="0" w:rightChars="0" w:firstLine="0" w:firstLineChars="0"/>
              <w:jc w:val="left"/>
              <w:rPr>
                <w:rFonts w:hint="eastAsia" w:ascii="宋体" w:hAnsi="宋体" w:eastAsia="宋体" w:cs="宋体"/>
                <w:i w:val="0"/>
                <w:iCs w:val="0"/>
                <w:caps w:val="0"/>
                <w:color w:val="auto"/>
                <w:spacing w:val="0"/>
                <w:sz w:val="24"/>
                <w:szCs w:val="24"/>
              </w:rPr>
            </w:pPr>
            <w:r>
              <w:rPr>
                <w:rFonts w:hint="eastAsia" w:ascii="宋体" w:hAnsi="宋体" w:eastAsia="宋体" w:cs="宋体"/>
                <w:i w:val="0"/>
                <w:iCs w:val="0"/>
                <w:caps w:val="0"/>
                <w:color w:val="auto"/>
                <w:spacing w:val="0"/>
                <w:kern w:val="0"/>
                <w:sz w:val="24"/>
                <w:szCs w:val="24"/>
                <w:lang w:val="en-US" w:eastAsia="zh-CN" w:bidi="ar"/>
              </w:rPr>
              <w:t>7×24受理，2小时内响应</w:t>
            </w:r>
          </w:p>
        </w:tc>
      </w:tr>
      <w:tr w14:paraId="10F4A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c>
          <w:tcPr>
            <w:tcW w:w="1678" w:type="dxa"/>
            <w:shd w:val="clear" w:color="auto" w:fill="FFFFFF"/>
            <w:noWrap w:val="0"/>
            <w:tcMar>
              <w:top w:w="150" w:type="dxa"/>
              <w:left w:w="0" w:type="dxa"/>
              <w:bottom w:w="150" w:type="dxa"/>
              <w:right w:w="240" w:type="dxa"/>
            </w:tcMar>
            <w:vAlign w:val="center"/>
          </w:tcPr>
          <w:p w14:paraId="3F39087A">
            <w:pPr>
              <w:keepNext w:val="0"/>
              <w:keepLines w:val="0"/>
              <w:widowControl/>
              <w:suppressLineNumbers w:val="0"/>
              <w:ind w:left="0" w:leftChars="0" w:right="0" w:rightChars="0" w:firstLine="0" w:firstLineChars="0"/>
              <w:jc w:val="left"/>
              <w:rPr>
                <w:rFonts w:hint="eastAsia" w:ascii="宋体" w:hAnsi="宋体" w:eastAsia="宋体" w:cs="宋体"/>
                <w:i w:val="0"/>
                <w:iCs w:val="0"/>
                <w:caps w:val="0"/>
                <w:color w:val="auto"/>
                <w:spacing w:val="0"/>
                <w:sz w:val="24"/>
                <w:szCs w:val="24"/>
              </w:rPr>
            </w:pPr>
            <w:r>
              <w:rPr>
                <w:rFonts w:hint="eastAsia" w:ascii="宋体" w:hAnsi="宋体" w:eastAsia="宋体" w:cs="宋体"/>
                <w:i w:val="0"/>
                <w:iCs w:val="0"/>
                <w:caps w:val="0"/>
                <w:color w:val="auto"/>
                <w:spacing w:val="0"/>
                <w:kern w:val="0"/>
                <w:sz w:val="24"/>
                <w:szCs w:val="24"/>
                <w:lang w:val="en-US" w:eastAsia="zh-CN" w:bidi="ar"/>
              </w:rPr>
              <w:t>系统巡检</w:t>
            </w:r>
          </w:p>
        </w:tc>
        <w:tc>
          <w:tcPr>
            <w:tcW w:w="2335" w:type="dxa"/>
            <w:shd w:val="clear" w:color="auto" w:fill="FFFFFF"/>
            <w:noWrap w:val="0"/>
            <w:tcMar>
              <w:top w:w="150" w:type="dxa"/>
              <w:left w:w="240" w:type="dxa"/>
              <w:bottom w:w="150" w:type="dxa"/>
              <w:right w:w="240" w:type="dxa"/>
            </w:tcMar>
            <w:vAlign w:val="center"/>
          </w:tcPr>
          <w:p w14:paraId="3955970D">
            <w:pPr>
              <w:keepNext w:val="0"/>
              <w:keepLines w:val="0"/>
              <w:widowControl/>
              <w:suppressLineNumbers w:val="0"/>
              <w:ind w:left="0" w:leftChars="0" w:right="0" w:rightChars="0" w:firstLine="0" w:firstLineChars="0"/>
              <w:jc w:val="left"/>
              <w:rPr>
                <w:rFonts w:hint="eastAsia" w:ascii="宋体" w:hAnsi="宋体" w:eastAsia="宋体" w:cs="宋体"/>
                <w:i w:val="0"/>
                <w:iCs w:val="0"/>
                <w:caps w:val="0"/>
                <w:color w:val="auto"/>
                <w:spacing w:val="0"/>
                <w:sz w:val="24"/>
                <w:szCs w:val="24"/>
              </w:rPr>
            </w:pPr>
            <w:r>
              <w:rPr>
                <w:rFonts w:hint="eastAsia" w:ascii="宋体" w:hAnsi="宋体" w:eastAsia="宋体" w:cs="宋体"/>
                <w:i w:val="0"/>
                <w:iCs w:val="0"/>
                <w:caps w:val="0"/>
                <w:color w:val="auto"/>
                <w:spacing w:val="0"/>
                <w:kern w:val="0"/>
                <w:sz w:val="24"/>
                <w:szCs w:val="24"/>
                <w:lang w:val="en-US" w:eastAsia="zh-CN" w:bidi="ar"/>
              </w:rPr>
              <w:t>远程</w:t>
            </w:r>
          </w:p>
        </w:tc>
        <w:tc>
          <w:tcPr>
            <w:tcW w:w="5057" w:type="dxa"/>
            <w:shd w:val="clear" w:color="auto" w:fill="FFFFFF"/>
            <w:noWrap w:val="0"/>
            <w:tcMar>
              <w:top w:w="150" w:type="dxa"/>
              <w:left w:w="240" w:type="dxa"/>
              <w:bottom w:w="150" w:type="dxa"/>
              <w:right w:w="0" w:type="dxa"/>
            </w:tcMar>
            <w:vAlign w:val="center"/>
          </w:tcPr>
          <w:p w14:paraId="0E521D6D">
            <w:pPr>
              <w:keepNext w:val="0"/>
              <w:keepLines w:val="0"/>
              <w:widowControl/>
              <w:suppressLineNumbers w:val="0"/>
              <w:ind w:left="0" w:leftChars="0" w:right="0" w:rightChars="0" w:firstLine="0" w:firstLineChars="0"/>
              <w:jc w:val="left"/>
              <w:rPr>
                <w:rFonts w:hint="eastAsia" w:ascii="宋体" w:hAnsi="宋体" w:eastAsia="宋体" w:cs="宋体"/>
                <w:i w:val="0"/>
                <w:iCs w:val="0"/>
                <w:caps w:val="0"/>
                <w:color w:val="auto"/>
                <w:spacing w:val="0"/>
                <w:sz w:val="24"/>
                <w:szCs w:val="24"/>
              </w:rPr>
            </w:pPr>
            <w:r>
              <w:rPr>
                <w:rFonts w:hint="eastAsia" w:ascii="宋体" w:hAnsi="宋体" w:eastAsia="宋体" w:cs="宋体"/>
                <w:i w:val="0"/>
                <w:iCs w:val="0"/>
                <w:caps w:val="0"/>
                <w:color w:val="auto"/>
                <w:spacing w:val="0"/>
                <w:kern w:val="0"/>
                <w:sz w:val="24"/>
                <w:szCs w:val="24"/>
                <w:lang w:val="en-US" w:eastAsia="zh-CN" w:bidi="ar"/>
              </w:rPr>
              <w:t>每月一次</w:t>
            </w:r>
          </w:p>
        </w:tc>
      </w:tr>
      <w:tr w14:paraId="263E7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c>
          <w:tcPr>
            <w:tcW w:w="1678" w:type="dxa"/>
            <w:shd w:val="clear" w:color="auto" w:fill="FFFFFF"/>
            <w:noWrap w:val="0"/>
            <w:tcMar>
              <w:top w:w="150" w:type="dxa"/>
              <w:left w:w="0" w:type="dxa"/>
              <w:bottom w:w="150" w:type="dxa"/>
              <w:right w:w="240" w:type="dxa"/>
            </w:tcMar>
            <w:vAlign w:val="center"/>
          </w:tcPr>
          <w:p w14:paraId="66058F7B">
            <w:pPr>
              <w:keepNext w:val="0"/>
              <w:keepLines w:val="0"/>
              <w:widowControl/>
              <w:suppressLineNumbers w:val="0"/>
              <w:ind w:left="0" w:leftChars="0" w:right="0" w:rightChars="0" w:firstLine="0" w:firstLineChars="0"/>
              <w:jc w:val="left"/>
              <w:rPr>
                <w:rFonts w:hint="eastAsia" w:ascii="宋体" w:hAnsi="宋体" w:eastAsia="宋体" w:cs="宋体"/>
                <w:i w:val="0"/>
                <w:iCs w:val="0"/>
                <w:caps w:val="0"/>
                <w:color w:val="auto"/>
                <w:spacing w:val="0"/>
                <w:sz w:val="24"/>
                <w:szCs w:val="24"/>
              </w:rPr>
            </w:pPr>
            <w:r>
              <w:rPr>
                <w:rFonts w:hint="eastAsia" w:ascii="宋体" w:hAnsi="宋体" w:eastAsia="宋体" w:cs="宋体"/>
                <w:i w:val="0"/>
                <w:iCs w:val="0"/>
                <w:caps w:val="0"/>
                <w:color w:val="auto"/>
                <w:spacing w:val="0"/>
                <w:kern w:val="0"/>
                <w:sz w:val="24"/>
                <w:szCs w:val="24"/>
                <w:lang w:val="en-US" w:eastAsia="zh-CN" w:bidi="ar"/>
              </w:rPr>
              <w:t>补丁更新</w:t>
            </w:r>
          </w:p>
        </w:tc>
        <w:tc>
          <w:tcPr>
            <w:tcW w:w="2335" w:type="dxa"/>
            <w:shd w:val="clear" w:color="auto" w:fill="FFFFFF"/>
            <w:noWrap w:val="0"/>
            <w:tcMar>
              <w:top w:w="150" w:type="dxa"/>
              <w:left w:w="240" w:type="dxa"/>
              <w:bottom w:w="150" w:type="dxa"/>
              <w:right w:w="240" w:type="dxa"/>
            </w:tcMar>
            <w:vAlign w:val="center"/>
          </w:tcPr>
          <w:p w14:paraId="2173017C">
            <w:pPr>
              <w:keepNext w:val="0"/>
              <w:keepLines w:val="0"/>
              <w:widowControl/>
              <w:suppressLineNumbers w:val="0"/>
              <w:ind w:left="0" w:leftChars="0" w:right="0" w:rightChars="0" w:firstLine="0" w:firstLineChars="0"/>
              <w:jc w:val="left"/>
              <w:rPr>
                <w:rFonts w:hint="eastAsia" w:ascii="宋体" w:hAnsi="宋体" w:eastAsia="宋体" w:cs="宋体"/>
                <w:i w:val="0"/>
                <w:iCs w:val="0"/>
                <w:caps w:val="0"/>
                <w:color w:val="auto"/>
                <w:spacing w:val="0"/>
                <w:sz w:val="24"/>
                <w:szCs w:val="24"/>
              </w:rPr>
            </w:pPr>
            <w:r>
              <w:rPr>
                <w:rFonts w:hint="eastAsia" w:ascii="宋体" w:hAnsi="宋体" w:eastAsia="宋体" w:cs="宋体"/>
                <w:i w:val="0"/>
                <w:iCs w:val="0"/>
                <w:caps w:val="0"/>
                <w:color w:val="auto"/>
                <w:spacing w:val="0"/>
                <w:kern w:val="0"/>
                <w:sz w:val="24"/>
                <w:szCs w:val="24"/>
                <w:lang w:val="en-US" w:eastAsia="zh-CN" w:bidi="ar"/>
              </w:rPr>
              <w:t>远程或现场</w:t>
            </w:r>
          </w:p>
        </w:tc>
        <w:tc>
          <w:tcPr>
            <w:tcW w:w="5057" w:type="dxa"/>
            <w:shd w:val="clear" w:color="auto" w:fill="FFFFFF"/>
            <w:noWrap w:val="0"/>
            <w:tcMar>
              <w:top w:w="150" w:type="dxa"/>
              <w:left w:w="240" w:type="dxa"/>
              <w:bottom w:w="150" w:type="dxa"/>
              <w:right w:w="0" w:type="dxa"/>
            </w:tcMar>
            <w:vAlign w:val="center"/>
          </w:tcPr>
          <w:p w14:paraId="7E4C3F5C">
            <w:pPr>
              <w:keepNext w:val="0"/>
              <w:keepLines w:val="0"/>
              <w:widowControl/>
              <w:suppressLineNumbers w:val="0"/>
              <w:ind w:left="0" w:leftChars="0" w:right="0" w:rightChars="0" w:firstLine="0" w:firstLineChars="0"/>
              <w:jc w:val="left"/>
              <w:rPr>
                <w:rFonts w:hint="eastAsia" w:ascii="宋体" w:hAnsi="宋体" w:eastAsia="宋体" w:cs="宋体"/>
                <w:i w:val="0"/>
                <w:iCs w:val="0"/>
                <w:caps w:val="0"/>
                <w:color w:val="auto"/>
                <w:spacing w:val="0"/>
                <w:sz w:val="24"/>
                <w:szCs w:val="24"/>
              </w:rPr>
            </w:pPr>
            <w:r>
              <w:rPr>
                <w:rFonts w:hint="eastAsia" w:ascii="宋体" w:hAnsi="宋体" w:eastAsia="宋体" w:cs="宋体"/>
                <w:i w:val="0"/>
                <w:iCs w:val="0"/>
                <w:caps w:val="0"/>
                <w:color w:val="auto"/>
                <w:spacing w:val="0"/>
                <w:kern w:val="0"/>
                <w:sz w:val="24"/>
                <w:szCs w:val="24"/>
                <w:lang w:val="en-US" w:eastAsia="zh-CN" w:bidi="ar"/>
              </w:rPr>
              <w:t>环境问题修复后更新</w:t>
            </w:r>
          </w:p>
        </w:tc>
      </w:tr>
      <w:tr w14:paraId="39581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c>
          <w:tcPr>
            <w:tcW w:w="1678" w:type="dxa"/>
            <w:shd w:val="clear" w:color="auto" w:fill="FFFFFF"/>
            <w:noWrap w:val="0"/>
            <w:tcMar>
              <w:top w:w="150" w:type="dxa"/>
              <w:left w:w="0" w:type="dxa"/>
              <w:bottom w:w="150" w:type="dxa"/>
              <w:right w:w="240" w:type="dxa"/>
            </w:tcMar>
            <w:vAlign w:val="center"/>
          </w:tcPr>
          <w:p w14:paraId="65498E33">
            <w:pPr>
              <w:keepNext w:val="0"/>
              <w:keepLines w:val="0"/>
              <w:widowControl/>
              <w:suppressLineNumbers w:val="0"/>
              <w:ind w:left="0" w:leftChars="0" w:right="0" w:rightChars="0" w:firstLine="0" w:firstLineChars="0"/>
              <w:jc w:val="left"/>
              <w:rPr>
                <w:rFonts w:hint="eastAsia" w:ascii="宋体" w:hAnsi="宋体" w:eastAsia="宋体" w:cs="宋体"/>
                <w:i w:val="0"/>
                <w:iCs w:val="0"/>
                <w:caps w:val="0"/>
                <w:color w:val="auto"/>
                <w:spacing w:val="0"/>
                <w:sz w:val="24"/>
                <w:szCs w:val="24"/>
              </w:rPr>
            </w:pPr>
            <w:r>
              <w:rPr>
                <w:rFonts w:hint="eastAsia" w:ascii="宋体" w:hAnsi="宋体" w:eastAsia="宋体" w:cs="宋体"/>
                <w:i w:val="0"/>
                <w:iCs w:val="0"/>
                <w:caps w:val="0"/>
                <w:color w:val="auto"/>
                <w:spacing w:val="0"/>
                <w:kern w:val="0"/>
                <w:sz w:val="24"/>
                <w:szCs w:val="24"/>
                <w:lang w:val="en-US" w:eastAsia="zh-CN" w:bidi="ar"/>
              </w:rPr>
              <w:t>现场环境</w:t>
            </w:r>
          </w:p>
        </w:tc>
        <w:tc>
          <w:tcPr>
            <w:tcW w:w="2335" w:type="dxa"/>
            <w:shd w:val="clear" w:color="auto" w:fill="FFFFFF"/>
            <w:noWrap w:val="0"/>
            <w:tcMar>
              <w:top w:w="150" w:type="dxa"/>
              <w:left w:w="240" w:type="dxa"/>
              <w:bottom w:w="150" w:type="dxa"/>
              <w:right w:w="240" w:type="dxa"/>
            </w:tcMar>
            <w:vAlign w:val="center"/>
          </w:tcPr>
          <w:p w14:paraId="1BCA8570">
            <w:pPr>
              <w:keepNext w:val="0"/>
              <w:keepLines w:val="0"/>
              <w:widowControl/>
              <w:suppressLineNumbers w:val="0"/>
              <w:ind w:left="0" w:leftChars="0" w:right="0" w:rightChars="0" w:firstLine="0" w:firstLineChars="0"/>
              <w:jc w:val="left"/>
              <w:rPr>
                <w:rFonts w:hint="eastAsia" w:ascii="宋体" w:hAnsi="宋体" w:eastAsia="宋体" w:cs="宋体"/>
                <w:i w:val="0"/>
                <w:iCs w:val="0"/>
                <w:caps w:val="0"/>
                <w:color w:val="auto"/>
                <w:spacing w:val="0"/>
                <w:sz w:val="24"/>
                <w:szCs w:val="24"/>
              </w:rPr>
            </w:pPr>
            <w:r>
              <w:rPr>
                <w:rFonts w:hint="eastAsia" w:ascii="宋体" w:hAnsi="宋体" w:eastAsia="宋体" w:cs="宋体"/>
                <w:i w:val="0"/>
                <w:iCs w:val="0"/>
                <w:caps w:val="0"/>
                <w:color w:val="auto"/>
                <w:spacing w:val="0"/>
                <w:kern w:val="0"/>
                <w:sz w:val="24"/>
                <w:szCs w:val="24"/>
                <w:lang w:val="en-US" w:eastAsia="zh-CN" w:bidi="ar"/>
              </w:rPr>
              <w:t>—</w:t>
            </w:r>
          </w:p>
        </w:tc>
        <w:tc>
          <w:tcPr>
            <w:tcW w:w="5057" w:type="dxa"/>
            <w:shd w:val="clear" w:color="auto" w:fill="FFFFFF"/>
            <w:noWrap w:val="0"/>
            <w:tcMar>
              <w:top w:w="150" w:type="dxa"/>
              <w:left w:w="240" w:type="dxa"/>
              <w:bottom w:w="150" w:type="dxa"/>
              <w:right w:w="0" w:type="dxa"/>
            </w:tcMar>
            <w:vAlign w:val="center"/>
          </w:tcPr>
          <w:p w14:paraId="1078AF22">
            <w:pPr>
              <w:keepNext w:val="0"/>
              <w:keepLines w:val="0"/>
              <w:widowControl/>
              <w:suppressLineNumbers w:val="0"/>
              <w:ind w:left="0" w:leftChars="0" w:right="0" w:rightChars="0" w:firstLine="0" w:firstLineChars="0"/>
              <w:jc w:val="left"/>
              <w:rPr>
                <w:rFonts w:hint="eastAsia" w:ascii="宋体" w:hAnsi="宋体" w:eastAsia="宋体" w:cs="宋体"/>
                <w:i w:val="0"/>
                <w:iCs w:val="0"/>
                <w:caps w:val="0"/>
                <w:color w:val="auto"/>
                <w:spacing w:val="0"/>
                <w:sz w:val="24"/>
                <w:szCs w:val="24"/>
              </w:rPr>
            </w:pPr>
            <w:r>
              <w:rPr>
                <w:rFonts w:hint="eastAsia" w:ascii="宋体" w:hAnsi="宋体" w:eastAsia="宋体" w:cs="宋体"/>
                <w:i w:val="0"/>
                <w:iCs w:val="0"/>
                <w:caps w:val="0"/>
                <w:color w:val="auto"/>
                <w:spacing w:val="0"/>
                <w:kern w:val="0"/>
                <w:sz w:val="24"/>
                <w:szCs w:val="24"/>
                <w:lang w:val="en-US" w:eastAsia="zh-CN" w:bidi="ar"/>
              </w:rPr>
              <w:t>系统验收后1年，含免费小版本升级</w:t>
            </w:r>
          </w:p>
        </w:tc>
      </w:tr>
    </w:tbl>
    <w:p w14:paraId="041548B1">
      <w:pPr>
        <w:numPr>
          <w:ilvl w:val="0"/>
          <w:numId w:val="3"/>
        </w:numPr>
        <w:ind w:leftChars="0"/>
        <w:rPr>
          <w:rFonts w:hint="default" w:eastAsia="宋体" w:cs="Times New Roman"/>
          <w:b/>
          <w:bCs/>
          <w:color w:val="auto"/>
          <w:sz w:val="28"/>
          <w:szCs w:val="36"/>
          <w:lang w:val="en-US" w:eastAsia="zh-CN"/>
        </w:rPr>
      </w:pPr>
      <w:r>
        <w:rPr>
          <w:rFonts w:hint="default" w:eastAsia="宋体" w:cs="Times New Roman"/>
          <w:b/>
          <w:bCs/>
          <w:color w:val="auto"/>
          <w:sz w:val="28"/>
          <w:szCs w:val="36"/>
          <w:lang w:val="en-US" w:eastAsia="zh-CN"/>
        </w:rPr>
        <w:t>培训要求</w:t>
      </w:r>
    </w:p>
    <w:p w14:paraId="6EDB4D52">
      <w:pPr>
        <w:pStyle w:val="7"/>
        <w:keepNext w:val="0"/>
        <w:keepLines w:val="0"/>
        <w:widowControl/>
        <w:suppressLineNumbers w:val="0"/>
        <w:shd w:val="clear" w:color="auto" w:fill="FFFFFF"/>
        <w:spacing w:before="120" w:beforeAutospacing="0" w:after="120" w:afterAutospacing="0"/>
        <w:ind w:left="0" w:right="0" w:firstLine="480" w:firstLineChars="200"/>
        <w:rPr>
          <w:rFonts w:ascii="Segoe UI" w:hAnsi="Segoe UI" w:eastAsia="Segoe UI" w:cs="Segoe UI"/>
          <w:i w:val="0"/>
          <w:iCs w:val="0"/>
          <w:caps w:val="0"/>
          <w:color w:val="auto"/>
          <w:spacing w:val="0"/>
          <w:sz w:val="24"/>
          <w:szCs w:val="24"/>
        </w:rPr>
      </w:pPr>
      <w:r>
        <w:rPr>
          <w:rFonts w:hint="default" w:ascii="Segoe UI" w:hAnsi="Segoe UI" w:eastAsia="Segoe UI" w:cs="Segoe UI"/>
          <w:i w:val="0"/>
          <w:iCs w:val="0"/>
          <w:caps w:val="0"/>
          <w:color w:val="auto"/>
          <w:spacing w:val="0"/>
          <w:sz w:val="24"/>
          <w:szCs w:val="24"/>
          <w:shd w:val="clear" w:color="auto" w:fill="FFFFFF"/>
        </w:rPr>
        <w:t>供应商须按管理层、业务层、操作层三个层级开展分层培训：</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965"/>
        <w:gridCol w:w="3600"/>
        <w:gridCol w:w="4565"/>
      </w:tblGrid>
      <w:tr w14:paraId="7F4AE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Header/>
        </w:trPr>
        <w:tc>
          <w:tcPr>
            <w:tcW w:w="0" w:type="auto"/>
            <w:noWrap w:val="0"/>
            <w:tcMar>
              <w:top w:w="150" w:type="dxa"/>
              <w:left w:w="0" w:type="dxa"/>
              <w:bottom w:w="150" w:type="dxa"/>
              <w:right w:w="240" w:type="dxa"/>
            </w:tcMar>
            <w:vAlign w:val="center"/>
          </w:tcPr>
          <w:p w14:paraId="309BD903">
            <w:pPr>
              <w:keepNext w:val="0"/>
              <w:keepLines w:val="0"/>
              <w:widowControl/>
              <w:suppressLineNumbers w:val="0"/>
              <w:jc w:val="left"/>
              <w:rPr>
                <w:rFonts w:ascii="var(--dsw-font-markdown-table-h" w:hAnsi="var(--dsw-font-markdown-table-h" w:eastAsia="var(--dsw-font-markdown-table-h" w:cs="var(--dsw-font-markdown-table-h"/>
                <w:b/>
                <w:bCs/>
                <w:color w:val="auto"/>
              </w:rPr>
            </w:pPr>
            <w:r>
              <w:rPr>
                <w:rFonts w:hint="default" w:ascii="var(--dsw-font-markdown-table-h" w:hAnsi="var(--dsw-font-markdown-table-h" w:eastAsia="var(--dsw-font-markdown-table-h" w:cs="var(--dsw-font-markdown-table-h"/>
                <w:b/>
                <w:bCs/>
                <w:color w:val="auto"/>
                <w:kern w:val="0"/>
                <w:sz w:val="24"/>
                <w:szCs w:val="24"/>
                <w:lang w:val="en-US" w:eastAsia="zh-CN" w:bidi="ar"/>
              </w:rPr>
              <w:t>层级</w:t>
            </w:r>
          </w:p>
        </w:tc>
        <w:tc>
          <w:tcPr>
            <w:tcW w:w="0" w:type="auto"/>
            <w:noWrap w:val="0"/>
            <w:tcMar>
              <w:top w:w="150" w:type="dxa"/>
              <w:left w:w="240" w:type="dxa"/>
              <w:bottom w:w="150" w:type="dxa"/>
              <w:right w:w="240" w:type="dxa"/>
            </w:tcMar>
            <w:vAlign w:val="center"/>
          </w:tcPr>
          <w:p w14:paraId="40C852C7">
            <w:pPr>
              <w:keepNext w:val="0"/>
              <w:keepLines w:val="0"/>
              <w:widowControl/>
              <w:suppressLineNumbers w:val="0"/>
              <w:jc w:val="left"/>
              <w:rPr>
                <w:rFonts w:hint="default" w:ascii="var(--dsw-font-markdown-table-h" w:hAnsi="var(--dsw-font-markdown-table-h" w:eastAsia="var(--dsw-font-markdown-table-h" w:cs="var(--dsw-font-markdown-table-h"/>
                <w:b/>
                <w:bCs/>
                <w:color w:val="auto"/>
              </w:rPr>
            </w:pPr>
            <w:r>
              <w:rPr>
                <w:rFonts w:hint="default" w:ascii="var(--dsw-font-markdown-table-h" w:hAnsi="var(--dsw-font-markdown-table-h" w:eastAsia="var(--dsw-font-markdown-table-h" w:cs="var(--dsw-font-markdown-table-h"/>
                <w:b/>
                <w:bCs/>
                <w:color w:val="auto"/>
                <w:kern w:val="0"/>
                <w:sz w:val="24"/>
                <w:szCs w:val="24"/>
                <w:lang w:val="en-US" w:eastAsia="zh-CN" w:bidi="ar"/>
              </w:rPr>
              <w:t>对象</w:t>
            </w:r>
          </w:p>
        </w:tc>
        <w:tc>
          <w:tcPr>
            <w:tcW w:w="0" w:type="auto"/>
            <w:noWrap w:val="0"/>
            <w:tcMar>
              <w:top w:w="150" w:type="dxa"/>
              <w:left w:w="240" w:type="dxa"/>
              <w:bottom w:w="150" w:type="dxa"/>
              <w:right w:w="240" w:type="dxa"/>
            </w:tcMar>
            <w:vAlign w:val="center"/>
          </w:tcPr>
          <w:p w14:paraId="3AE9360A">
            <w:pPr>
              <w:keepNext w:val="0"/>
              <w:keepLines w:val="0"/>
              <w:widowControl/>
              <w:suppressLineNumbers w:val="0"/>
              <w:jc w:val="left"/>
              <w:rPr>
                <w:rFonts w:hint="default" w:ascii="var(--dsw-font-markdown-table-h" w:hAnsi="var(--dsw-font-markdown-table-h" w:eastAsia="var(--dsw-font-markdown-table-h" w:cs="var(--dsw-font-markdown-table-h"/>
                <w:b/>
                <w:bCs/>
                <w:color w:val="auto"/>
              </w:rPr>
            </w:pPr>
            <w:r>
              <w:rPr>
                <w:rFonts w:hint="default" w:ascii="var(--dsw-font-markdown-table-h" w:hAnsi="var(--dsw-font-markdown-table-h" w:eastAsia="var(--dsw-font-markdown-table-h" w:cs="var(--dsw-font-markdown-table-h"/>
                <w:b/>
                <w:bCs/>
                <w:color w:val="auto"/>
                <w:kern w:val="0"/>
                <w:sz w:val="24"/>
                <w:szCs w:val="24"/>
                <w:lang w:val="en-US" w:eastAsia="zh-CN" w:bidi="ar"/>
              </w:rPr>
              <w:t>重点</w:t>
            </w:r>
          </w:p>
        </w:tc>
      </w:tr>
      <w:tr w14:paraId="1787B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19" w:hRule="atLeast"/>
        </w:trPr>
        <w:tc>
          <w:tcPr>
            <w:tcW w:w="0" w:type="auto"/>
            <w:noWrap w:val="0"/>
            <w:tcMar>
              <w:top w:w="150" w:type="dxa"/>
              <w:left w:w="0" w:type="dxa"/>
              <w:bottom w:w="150" w:type="dxa"/>
              <w:right w:w="240" w:type="dxa"/>
            </w:tcMar>
            <w:vAlign w:val="center"/>
          </w:tcPr>
          <w:p w14:paraId="3D670CD5">
            <w:pPr>
              <w:keepNext w:val="0"/>
              <w:keepLines w:val="0"/>
              <w:widowControl/>
              <w:suppressLineNumbers w:val="0"/>
              <w:jc w:val="left"/>
              <w:rPr>
                <w:rFonts w:ascii="var(--dsw-font-markdown-table)" w:hAnsi="var(--dsw-font-markdown-table)" w:eastAsia="var(--dsw-font-markdown-table)" w:cs="var(--dsw-font-markdown-table)"/>
                <w:color w:val="auto"/>
              </w:rPr>
            </w:pPr>
            <w:r>
              <w:rPr>
                <w:rFonts w:hint="default" w:ascii="var(--dsw-font-markdown-table)" w:hAnsi="var(--dsw-font-markdown-table)" w:eastAsia="var(--dsw-font-markdown-table)" w:cs="var(--dsw-font-markdown-table)"/>
                <w:color w:val="auto"/>
                <w:kern w:val="0"/>
                <w:sz w:val="24"/>
                <w:szCs w:val="24"/>
                <w:lang w:val="en-US" w:eastAsia="zh-CN" w:bidi="ar"/>
              </w:rPr>
              <w:t>管理层</w:t>
            </w:r>
          </w:p>
        </w:tc>
        <w:tc>
          <w:tcPr>
            <w:tcW w:w="0" w:type="auto"/>
            <w:noWrap w:val="0"/>
            <w:tcMar>
              <w:top w:w="150" w:type="dxa"/>
              <w:left w:w="240" w:type="dxa"/>
              <w:bottom w:w="150" w:type="dxa"/>
              <w:right w:w="240" w:type="dxa"/>
            </w:tcMar>
            <w:vAlign w:val="center"/>
          </w:tcPr>
          <w:p w14:paraId="22B27466">
            <w:pPr>
              <w:keepNext w:val="0"/>
              <w:keepLines w:val="0"/>
              <w:widowControl/>
              <w:suppressLineNumbers w:val="0"/>
              <w:jc w:val="left"/>
              <w:rPr>
                <w:rFonts w:hint="default" w:ascii="var(--dsw-font-markdown-table)" w:hAnsi="var(--dsw-font-markdown-table)" w:eastAsia="var(--dsw-font-markdown-table)" w:cs="var(--dsw-font-markdown-table)"/>
                <w:color w:val="auto"/>
              </w:rPr>
            </w:pPr>
            <w:r>
              <w:rPr>
                <w:rFonts w:hint="default" w:ascii="var(--dsw-font-markdown-table)" w:hAnsi="var(--dsw-font-markdown-table)" w:eastAsia="var(--dsw-font-markdown-table)" w:cs="var(--dsw-font-markdown-table)"/>
                <w:color w:val="auto"/>
                <w:kern w:val="0"/>
                <w:sz w:val="24"/>
                <w:szCs w:val="24"/>
                <w:lang w:val="en-US" w:eastAsia="zh-CN" w:bidi="ar"/>
              </w:rPr>
              <w:t>公司领导、部门负责人</w:t>
            </w:r>
          </w:p>
        </w:tc>
        <w:tc>
          <w:tcPr>
            <w:tcW w:w="0" w:type="auto"/>
            <w:noWrap w:val="0"/>
            <w:tcMar>
              <w:top w:w="150" w:type="dxa"/>
              <w:left w:w="240" w:type="dxa"/>
              <w:bottom w:w="150" w:type="dxa"/>
              <w:right w:w="0" w:type="dxa"/>
            </w:tcMar>
            <w:vAlign w:val="center"/>
          </w:tcPr>
          <w:p w14:paraId="40233021">
            <w:pPr>
              <w:keepNext w:val="0"/>
              <w:keepLines w:val="0"/>
              <w:widowControl/>
              <w:suppressLineNumbers w:val="0"/>
              <w:jc w:val="left"/>
              <w:rPr>
                <w:rFonts w:hint="default" w:ascii="var(--dsw-font-markdown-table)" w:hAnsi="var(--dsw-font-markdown-table)" w:eastAsia="var(--dsw-font-markdown-table)" w:cs="var(--dsw-font-markdown-table)"/>
                <w:color w:val="auto"/>
              </w:rPr>
            </w:pPr>
            <w:r>
              <w:rPr>
                <w:rFonts w:hint="default" w:ascii="var(--dsw-font-markdown-table)" w:hAnsi="var(--dsw-font-markdown-table)" w:eastAsia="var(--dsw-font-markdown-table)" w:cs="var(--dsw-font-markdown-table)"/>
                <w:color w:val="auto"/>
                <w:kern w:val="0"/>
                <w:sz w:val="24"/>
                <w:szCs w:val="24"/>
                <w:lang w:val="en-US" w:eastAsia="zh-CN" w:bidi="ar"/>
              </w:rPr>
              <w:t>看板与经营分析、审批决策</w:t>
            </w:r>
          </w:p>
        </w:tc>
      </w:tr>
      <w:tr w14:paraId="0ED3E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noWrap w:val="0"/>
            <w:tcMar>
              <w:top w:w="150" w:type="dxa"/>
              <w:left w:w="0" w:type="dxa"/>
              <w:bottom w:w="150" w:type="dxa"/>
              <w:right w:w="240" w:type="dxa"/>
            </w:tcMar>
            <w:vAlign w:val="center"/>
          </w:tcPr>
          <w:p w14:paraId="6065A22D">
            <w:pPr>
              <w:keepNext w:val="0"/>
              <w:keepLines w:val="0"/>
              <w:widowControl/>
              <w:suppressLineNumbers w:val="0"/>
              <w:jc w:val="left"/>
              <w:rPr>
                <w:rFonts w:hint="default" w:ascii="var(--dsw-font-markdown-table)" w:hAnsi="var(--dsw-font-markdown-table)" w:eastAsia="var(--dsw-font-markdown-table)" w:cs="var(--dsw-font-markdown-table)"/>
                <w:color w:val="auto"/>
              </w:rPr>
            </w:pPr>
            <w:r>
              <w:rPr>
                <w:rFonts w:hint="default" w:ascii="var(--dsw-font-markdown-table)" w:hAnsi="var(--dsw-font-markdown-table)" w:eastAsia="var(--dsw-font-markdown-table)" w:cs="var(--dsw-font-markdown-table)"/>
                <w:color w:val="auto"/>
                <w:kern w:val="0"/>
                <w:sz w:val="24"/>
                <w:szCs w:val="24"/>
                <w:lang w:val="en-US" w:eastAsia="zh-CN" w:bidi="ar"/>
              </w:rPr>
              <w:t>业务层</w:t>
            </w:r>
          </w:p>
        </w:tc>
        <w:tc>
          <w:tcPr>
            <w:tcW w:w="0" w:type="auto"/>
            <w:noWrap w:val="0"/>
            <w:tcMar>
              <w:top w:w="150" w:type="dxa"/>
              <w:left w:w="240" w:type="dxa"/>
              <w:bottom w:w="150" w:type="dxa"/>
              <w:right w:w="240" w:type="dxa"/>
            </w:tcMar>
            <w:vAlign w:val="center"/>
          </w:tcPr>
          <w:p w14:paraId="6D818FAE">
            <w:pPr>
              <w:keepNext w:val="0"/>
              <w:keepLines w:val="0"/>
              <w:widowControl/>
              <w:suppressLineNumbers w:val="0"/>
              <w:jc w:val="left"/>
              <w:rPr>
                <w:rFonts w:hint="default" w:ascii="var(--dsw-font-markdown-table)" w:hAnsi="var(--dsw-font-markdown-table)" w:eastAsia="var(--dsw-font-markdown-table)" w:cs="var(--dsw-font-markdown-table)"/>
                <w:color w:val="auto"/>
              </w:rPr>
            </w:pPr>
            <w:r>
              <w:rPr>
                <w:rFonts w:hint="default" w:ascii="var(--dsw-font-markdown-table)" w:hAnsi="var(--dsw-font-markdown-table)" w:eastAsia="var(--dsw-font-markdown-table)" w:cs="var(--dsw-font-markdown-table)"/>
                <w:color w:val="auto"/>
                <w:kern w:val="0"/>
                <w:sz w:val="24"/>
                <w:szCs w:val="24"/>
                <w:lang w:val="en-US" w:eastAsia="zh-CN" w:bidi="ar"/>
              </w:rPr>
              <w:t>市场、项目、采购、财务骨干</w:t>
            </w:r>
          </w:p>
        </w:tc>
        <w:tc>
          <w:tcPr>
            <w:tcW w:w="0" w:type="auto"/>
            <w:noWrap w:val="0"/>
            <w:tcMar>
              <w:top w:w="150" w:type="dxa"/>
              <w:left w:w="240" w:type="dxa"/>
              <w:bottom w:w="150" w:type="dxa"/>
              <w:right w:w="0" w:type="dxa"/>
            </w:tcMar>
            <w:vAlign w:val="center"/>
          </w:tcPr>
          <w:p w14:paraId="17ECA043">
            <w:pPr>
              <w:keepNext w:val="0"/>
              <w:keepLines w:val="0"/>
              <w:widowControl/>
              <w:suppressLineNumbers w:val="0"/>
              <w:jc w:val="left"/>
              <w:rPr>
                <w:rFonts w:hint="default" w:ascii="var(--dsw-font-markdown-table)" w:hAnsi="var(--dsw-font-markdown-table)" w:eastAsia="var(--dsw-font-markdown-table)" w:cs="var(--dsw-font-markdown-table)"/>
                <w:color w:val="auto"/>
              </w:rPr>
            </w:pPr>
            <w:r>
              <w:rPr>
                <w:rFonts w:hint="default" w:ascii="var(--dsw-font-markdown-table)" w:hAnsi="var(--dsw-font-markdown-table)" w:eastAsia="var(--dsw-font-markdown-table)" w:cs="var(--dsw-font-markdown-table)"/>
                <w:color w:val="auto"/>
                <w:kern w:val="0"/>
                <w:sz w:val="24"/>
                <w:szCs w:val="24"/>
                <w:lang w:val="en-US" w:eastAsia="zh-CN" w:bidi="ar"/>
              </w:rPr>
              <w:t>全流程操作、单据发起与跟踪、报表查询</w:t>
            </w:r>
          </w:p>
        </w:tc>
      </w:tr>
      <w:tr w14:paraId="2500F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noWrap w:val="0"/>
            <w:tcMar>
              <w:top w:w="150" w:type="dxa"/>
              <w:left w:w="0" w:type="dxa"/>
              <w:bottom w:w="150" w:type="dxa"/>
              <w:right w:w="240" w:type="dxa"/>
            </w:tcMar>
            <w:vAlign w:val="center"/>
          </w:tcPr>
          <w:p w14:paraId="08A68F8F">
            <w:pPr>
              <w:keepNext w:val="0"/>
              <w:keepLines w:val="0"/>
              <w:widowControl/>
              <w:suppressLineNumbers w:val="0"/>
              <w:jc w:val="left"/>
              <w:rPr>
                <w:rFonts w:hint="default" w:ascii="var(--dsw-font-markdown-table)" w:hAnsi="var(--dsw-font-markdown-table)" w:eastAsia="var(--dsw-font-markdown-table)" w:cs="var(--dsw-font-markdown-table)"/>
                <w:color w:val="auto"/>
              </w:rPr>
            </w:pPr>
            <w:r>
              <w:rPr>
                <w:rFonts w:hint="default" w:ascii="var(--dsw-font-markdown-table)" w:hAnsi="var(--dsw-font-markdown-table)" w:eastAsia="var(--dsw-font-markdown-table)" w:cs="var(--dsw-font-markdown-table)"/>
                <w:color w:val="auto"/>
                <w:kern w:val="0"/>
                <w:sz w:val="24"/>
                <w:szCs w:val="24"/>
                <w:lang w:val="en-US" w:eastAsia="zh-CN" w:bidi="ar"/>
              </w:rPr>
              <w:t>操作层</w:t>
            </w:r>
          </w:p>
        </w:tc>
        <w:tc>
          <w:tcPr>
            <w:tcW w:w="0" w:type="auto"/>
            <w:noWrap w:val="0"/>
            <w:tcMar>
              <w:top w:w="150" w:type="dxa"/>
              <w:left w:w="240" w:type="dxa"/>
              <w:bottom w:w="150" w:type="dxa"/>
              <w:right w:w="240" w:type="dxa"/>
            </w:tcMar>
            <w:vAlign w:val="center"/>
          </w:tcPr>
          <w:p w14:paraId="6C444D70">
            <w:pPr>
              <w:keepNext w:val="0"/>
              <w:keepLines w:val="0"/>
              <w:widowControl/>
              <w:suppressLineNumbers w:val="0"/>
              <w:jc w:val="left"/>
              <w:rPr>
                <w:rFonts w:hint="default" w:ascii="var(--dsw-font-markdown-table)" w:hAnsi="var(--dsw-font-markdown-table)" w:eastAsia="var(--dsw-font-markdown-table)" w:cs="var(--dsw-font-markdown-table)"/>
                <w:color w:val="auto"/>
              </w:rPr>
            </w:pPr>
            <w:r>
              <w:rPr>
                <w:rFonts w:hint="default" w:ascii="var(--dsw-font-markdown-table)" w:hAnsi="var(--dsw-font-markdown-table)" w:eastAsia="var(--dsw-font-markdown-table)" w:cs="var(--dsw-font-markdown-table)"/>
                <w:color w:val="auto"/>
                <w:kern w:val="0"/>
                <w:sz w:val="24"/>
                <w:szCs w:val="24"/>
                <w:lang w:val="en-US" w:eastAsia="zh-CN" w:bidi="ar"/>
              </w:rPr>
              <w:t>全体员工、一线人员</w:t>
            </w:r>
          </w:p>
        </w:tc>
        <w:tc>
          <w:tcPr>
            <w:tcW w:w="0" w:type="auto"/>
            <w:noWrap w:val="0"/>
            <w:tcMar>
              <w:top w:w="150" w:type="dxa"/>
              <w:left w:w="240" w:type="dxa"/>
              <w:bottom w:w="150" w:type="dxa"/>
              <w:right w:w="0" w:type="dxa"/>
            </w:tcMar>
            <w:vAlign w:val="center"/>
          </w:tcPr>
          <w:p w14:paraId="4E2DA584">
            <w:pPr>
              <w:keepNext w:val="0"/>
              <w:keepLines w:val="0"/>
              <w:widowControl/>
              <w:suppressLineNumbers w:val="0"/>
              <w:jc w:val="left"/>
              <w:rPr>
                <w:rFonts w:hint="default" w:ascii="var(--dsw-font-markdown-table)" w:hAnsi="var(--dsw-font-markdown-table)" w:eastAsia="var(--dsw-font-markdown-table)" w:cs="var(--dsw-font-markdown-table)"/>
                <w:color w:val="auto"/>
              </w:rPr>
            </w:pPr>
            <w:r>
              <w:rPr>
                <w:rFonts w:hint="default" w:ascii="var(--dsw-font-markdown-table)" w:hAnsi="var(--dsw-font-markdown-table)" w:eastAsia="var(--dsw-font-markdown-table)" w:cs="var(--dsw-font-markdown-table)"/>
                <w:color w:val="auto"/>
                <w:kern w:val="0"/>
                <w:sz w:val="24"/>
                <w:szCs w:val="24"/>
                <w:lang w:val="en-US" w:eastAsia="zh-CN" w:bidi="ar"/>
              </w:rPr>
              <w:t>移动端使用、报销与请假</w:t>
            </w:r>
          </w:p>
        </w:tc>
      </w:tr>
    </w:tbl>
    <w:p w14:paraId="45FFEBB6">
      <w:pPr>
        <w:pStyle w:val="7"/>
        <w:keepNext w:val="0"/>
        <w:keepLines w:val="0"/>
        <w:widowControl/>
        <w:suppressLineNumbers w:val="0"/>
        <w:shd w:val="clear" w:color="auto" w:fill="FFFFFF"/>
        <w:spacing w:before="120" w:beforeAutospacing="0" w:after="120" w:afterAutospacing="0"/>
        <w:ind w:left="0" w:right="0" w:firstLine="0"/>
        <w:rPr>
          <w:rFonts w:hint="default" w:ascii="Segoe UI" w:hAnsi="Segoe UI" w:eastAsia="Segoe UI" w:cs="Segoe UI"/>
          <w:i w:val="0"/>
          <w:iCs w:val="0"/>
          <w:caps w:val="0"/>
          <w:color w:val="auto"/>
          <w:spacing w:val="0"/>
          <w:sz w:val="24"/>
          <w:szCs w:val="24"/>
        </w:rPr>
      </w:pPr>
      <w:r>
        <w:rPr>
          <w:rFonts w:hint="default" w:ascii="Segoe UI" w:hAnsi="Segoe UI" w:eastAsia="Segoe UI" w:cs="Segoe UI"/>
          <w:i w:val="0"/>
          <w:iCs w:val="0"/>
          <w:caps w:val="0"/>
          <w:color w:val="auto"/>
          <w:spacing w:val="0"/>
          <w:sz w:val="24"/>
          <w:szCs w:val="24"/>
          <w:shd w:val="clear" w:color="auto" w:fill="FFFFFF"/>
        </w:rPr>
        <w:t>培训须提供操作手册，并留存培训记录。关键岗位人员须100%通过操作考核。</w:t>
      </w:r>
    </w:p>
    <w:p w14:paraId="6A30BE50">
      <w:pPr>
        <w:numPr>
          <w:ilvl w:val="0"/>
          <w:numId w:val="1"/>
        </w:numPr>
        <w:ind w:left="0" w:leftChars="0" w:firstLine="0" w:firstLineChars="0"/>
        <w:rPr>
          <w:rFonts w:hint="eastAsia" w:eastAsia="宋体" w:cs="Times New Roman"/>
          <w:b/>
          <w:bCs/>
          <w:color w:val="auto"/>
          <w:sz w:val="28"/>
          <w:szCs w:val="36"/>
          <w:lang w:val="en-US" w:eastAsia="zh-CN"/>
        </w:rPr>
      </w:pPr>
      <w:r>
        <w:rPr>
          <w:rFonts w:hint="eastAsia" w:eastAsia="宋体" w:cs="Times New Roman"/>
          <w:b/>
          <w:bCs/>
          <w:color w:val="auto"/>
          <w:sz w:val="28"/>
          <w:szCs w:val="36"/>
          <w:lang w:val="en-US" w:eastAsia="zh-CN"/>
        </w:rPr>
        <w:t>付款方式</w:t>
      </w:r>
    </w:p>
    <w:p w14:paraId="52910BF0">
      <w:pPr>
        <w:pStyle w:val="8"/>
        <w:rPr>
          <w:rFonts w:hint="default" w:ascii="Segoe UI" w:hAnsi="Segoe UI" w:eastAsia="Segoe UI" w:cs="Segoe UI"/>
          <w:i w:val="0"/>
          <w:iCs w:val="0"/>
          <w:caps w:val="0"/>
          <w:color w:val="auto"/>
          <w:spacing w:val="0"/>
          <w:kern w:val="0"/>
          <w:sz w:val="24"/>
          <w:szCs w:val="24"/>
          <w:shd w:val="clear" w:color="auto" w:fill="FFFFFF"/>
          <w:lang w:val="en-US" w:eastAsia="zh-CN" w:bidi="ar"/>
        </w:rPr>
      </w:pPr>
      <w:r>
        <w:rPr>
          <w:rFonts w:hint="eastAsia" w:ascii="Segoe UI" w:hAnsi="Segoe UI" w:eastAsia="Segoe UI" w:cs="Segoe UI"/>
          <w:i w:val="0"/>
          <w:iCs w:val="0"/>
          <w:caps w:val="0"/>
          <w:color w:val="auto"/>
          <w:spacing w:val="0"/>
          <w:kern w:val="0"/>
          <w:sz w:val="24"/>
          <w:szCs w:val="24"/>
          <w:shd w:val="clear" w:color="auto" w:fill="FFFFFF"/>
          <w:lang w:val="en-US" w:eastAsia="zh-CN" w:bidi="ar"/>
        </w:rPr>
        <w:t>分阶段付款：涵盖预付款、试运行及验收尾款。</w:t>
      </w:r>
    </w:p>
    <w:tbl>
      <w:tblPr>
        <w:tblStyle w:val="10"/>
        <w:tblW w:w="91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autofit"/>
        <w:tblCellMar>
          <w:top w:w="15" w:type="dxa"/>
          <w:left w:w="15" w:type="dxa"/>
          <w:bottom w:w="15" w:type="dxa"/>
          <w:right w:w="15" w:type="dxa"/>
        </w:tblCellMar>
      </w:tblPr>
      <w:tblGrid>
        <w:gridCol w:w="2055"/>
        <w:gridCol w:w="1978"/>
        <w:gridCol w:w="5118"/>
      </w:tblGrid>
      <w:tr w14:paraId="1F2DB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blHeader/>
        </w:trPr>
        <w:tc>
          <w:tcPr>
            <w:tcW w:w="2055" w:type="dxa"/>
            <w:shd w:val="clear" w:color="auto" w:fill="FFFFFF"/>
            <w:noWrap w:val="0"/>
            <w:tcMar>
              <w:top w:w="150" w:type="dxa"/>
              <w:left w:w="0" w:type="dxa"/>
              <w:bottom w:w="150" w:type="dxa"/>
              <w:right w:w="240" w:type="dxa"/>
            </w:tcMar>
            <w:vAlign w:val="center"/>
          </w:tcPr>
          <w:p w14:paraId="76EA2C86">
            <w:pPr>
              <w:keepNext w:val="0"/>
              <w:keepLines w:val="0"/>
              <w:widowControl/>
              <w:suppressLineNumbers w:val="0"/>
              <w:jc w:val="center"/>
              <w:rPr>
                <w:rFonts w:hint="eastAsia" w:ascii="新宋体" w:hAnsi="新宋体" w:eastAsia="新宋体" w:cs="新宋体"/>
                <w:b/>
                <w:bCs/>
                <w:i w:val="0"/>
                <w:iCs w:val="0"/>
                <w:caps w:val="0"/>
                <w:color w:val="auto"/>
                <w:spacing w:val="0"/>
                <w:sz w:val="24"/>
                <w:szCs w:val="24"/>
              </w:rPr>
            </w:pPr>
            <w:r>
              <w:rPr>
                <w:rFonts w:hint="eastAsia" w:ascii="新宋体" w:hAnsi="新宋体" w:eastAsia="新宋体" w:cs="新宋体"/>
                <w:b/>
                <w:bCs/>
                <w:i w:val="0"/>
                <w:iCs w:val="0"/>
                <w:caps w:val="0"/>
                <w:color w:val="auto"/>
                <w:spacing w:val="0"/>
                <w:kern w:val="0"/>
                <w:sz w:val="24"/>
                <w:szCs w:val="24"/>
                <w:lang w:val="en-US" w:eastAsia="zh-CN" w:bidi="ar"/>
              </w:rPr>
              <w:t>付款节点</w:t>
            </w:r>
          </w:p>
        </w:tc>
        <w:tc>
          <w:tcPr>
            <w:tcW w:w="1978" w:type="dxa"/>
            <w:shd w:val="clear" w:color="auto" w:fill="FFFFFF"/>
            <w:noWrap w:val="0"/>
            <w:tcMar>
              <w:top w:w="150" w:type="dxa"/>
              <w:left w:w="240" w:type="dxa"/>
              <w:bottom w:w="150" w:type="dxa"/>
              <w:right w:w="240" w:type="dxa"/>
            </w:tcMar>
            <w:vAlign w:val="center"/>
          </w:tcPr>
          <w:p w14:paraId="1A366FA6">
            <w:pPr>
              <w:keepNext w:val="0"/>
              <w:keepLines w:val="0"/>
              <w:widowControl/>
              <w:suppressLineNumbers w:val="0"/>
              <w:jc w:val="center"/>
              <w:rPr>
                <w:rFonts w:hint="eastAsia" w:ascii="新宋体" w:hAnsi="新宋体" w:eastAsia="新宋体" w:cs="新宋体"/>
                <w:b/>
                <w:bCs/>
                <w:i w:val="0"/>
                <w:iCs w:val="0"/>
                <w:caps w:val="0"/>
                <w:color w:val="auto"/>
                <w:spacing w:val="0"/>
                <w:sz w:val="24"/>
                <w:szCs w:val="24"/>
              </w:rPr>
            </w:pPr>
            <w:r>
              <w:rPr>
                <w:rFonts w:hint="eastAsia" w:ascii="新宋体" w:hAnsi="新宋体" w:eastAsia="新宋体" w:cs="新宋体"/>
                <w:b/>
                <w:bCs/>
                <w:i w:val="0"/>
                <w:iCs w:val="0"/>
                <w:caps w:val="0"/>
                <w:color w:val="auto"/>
                <w:spacing w:val="0"/>
                <w:kern w:val="0"/>
                <w:sz w:val="24"/>
                <w:szCs w:val="24"/>
                <w:lang w:val="en-US" w:eastAsia="zh-CN" w:bidi="ar"/>
              </w:rPr>
              <w:t>付款比例</w:t>
            </w:r>
          </w:p>
        </w:tc>
        <w:tc>
          <w:tcPr>
            <w:tcW w:w="5118" w:type="dxa"/>
            <w:shd w:val="clear" w:color="auto" w:fill="FFFFFF"/>
            <w:noWrap w:val="0"/>
            <w:tcMar>
              <w:top w:w="150" w:type="dxa"/>
              <w:left w:w="240" w:type="dxa"/>
              <w:bottom w:w="150" w:type="dxa"/>
              <w:right w:w="240" w:type="dxa"/>
            </w:tcMar>
            <w:vAlign w:val="center"/>
          </w:tcPr>
          <w:p w14:paraId="244552EF">
            <w:pPr>
              <w:keepNext w:val="0"/>
              <w:keepLines w:val="0"/>
              <w:widowControl/>
              <w:suppressLineNumbers w:val="0"/>
              <w:jc w:val="center"/>
              <w:rPr>
                <w:rFonts w:hint="eastAsia" w:ascii="新宋体" w:hAnsi="新宋体" w:eastAsia="新宋体" w:cs="新宋体"/>
                <w:b/>
                <w:bCs/>
                <w:i w:val="0"/>
                <w:iCs w:val="0"/>
                <w:caps w:val="0"/>
                <w:color w:val="auto"/>
                <w:spacing w:val="0"/>
                <w:sz w:val="24"/>
                <w:szCs w:val="24"/>
              </w:rPr>
            </w:pPr>
            <w:r>
              <w:rPr>
                <w:rFonts w:hint="eastAsia" w:ascii="新宋体" w:hAnsi="新宋体" w:eastAsia="新宋体" w:cs="新宋体"/>
                <w:b/>
                <w:bCs/>
                <w:i w:val="0"/>
                <w:iCs w:val="0"/>
                <w:caps w:val="0"/>
                <w:color w:val="auto"/>
                <w:spacing w:val="0"/>
                <w:kern w:val="0"/>
                <w:sz w:val="24"/>
                <w:szCs w:val="24"/>
                <w:lang w:val="en-US" w:eastAsia="zh-CN" w:bidi="ar"/>
              </w:rPr>
              <w:t>付款条件</w:t>
            </w:r>
          </w:p>
        </w:tc>
      </w:tr>
      <w:tr w14:paraId="5D62D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c>
          <w:tcPr>
            <w:tcW w:w="2055" w:type="dxa"/>
            <w:shd w:val="clear" w:color="auto" w:fill="FFFFFF"/>
            <w:noWrap w:val="0"/>
            <w:tcMar>
              <w:top w:w="150" w:type="dxa"/>
              <w:left w:w="0" w:type="dxa"/>
              <w:bottom w:w="150" w:type="dxa"/>
              <w:right w:w="240" w:type="dxa"/>
            </w:tcMar>
            <w:vAlign w:val="center"/>
          </w:tcPr>
          <w:p w14:paraId="4DAC7117">
            <w:pPr>
              <w:keepNext w:val="0"/>
              <w:keepLines w:val="0"/>
              <w:widowControl/>
              <w:suppressLineNumbers w:val="0"/>
              <w:jc w:val="center"/>
              <w:rPr>
                <w:rFonts w:hint="eastAsia" w:ascii="新宋体" w:hAnsi="新宋体" w:eastAsia="新宋体" w:cs="新宋体"/>
                <w:i w:val="0"/>
                <w:iCs w:val="0"/>
                <w:caps w:val="0"/>
                <w:color w:val="auto"/>
                <w:spacing w:val="0"/>
                <w:sz w:val="24"/>
                <w:szCs w:val="24"/>
              </w:rPr>
            </w:pPr>
            <w:r>
              <w:rPr>
                <w:rFonts w:hint="eastAsia" w:ascii="新宋体" w:hAnsi="新宋体" w:eastAsia="新宋体" w:cs="新宋体"/>
                <w:i w:val="0"/>
                <w:iCs w:val="0"/>
                <w:caps w:val="0"/>
                <w:color w:val="auto"/>
                <w:spacing w:val="0"/>
                <w:kern w:val="0"/>
                <w:sz w:val="24"/>
                <w:szCs w:val="24"/>
                <w:lang w:val="en-US" w:eastAsia="zh-CN" w:bidi="ar"/>
              </w:rPr>
              <w:t>预付款</w:t>
            </w:r>
          </w:p>
        </w:tc>
        <w:tc>
          <w:tcPr>
            <w:tcW w:w="1978" w:type="dxa"/>
            <w:shd w:val="clear" w:color="auto" w:fill="FFFFFF"/>
            <w:noWrap w:val="0"/>
            <w:tcMar>
              <w:top w:w="150" w:type="dxa"/>
              <w:left w:w="240" w:type="dxa"/>
              <w:bottom w:w="150" w:type="dxa"/>
              <w:right w:w="240" w:type="dxa"/>
            </w:tcMar>
            <w:vAlign w:val="center"/>
          </w:tcPr>
          <w:p w14:paraId="18E0688A">
            <w:pPr>
              <w:keepNext w:val="0"/>
              <w:keepLines w:val="0"/>
              <w:widowControl/>
              <w:suppressLineNumbers w:val="0"/>
              <w:jc w:val="center"/>
              <w:rPr>
                <w:rFonts w:hint="eastAsia" w:ascii="新宋体" w:hAnsi="新宋体" w:eastAsia="新宋体" w:cs="新宋体"/>
                <w:i w:val="0"/>
                <w:iCs w:val="0"/>
                <w:caps w:val="0"/>
                <w:color w:val="auto"/>
                <w:spacing w:val="0"/>
                <w:sz w:val="24"/>
                <w:szCs w:val="24"/>
              </w:rPr>
            </w:pPr>
            <w:r>
              <w:rPr>
                <w:rFonts w:hint="eastAsia" w:ascii="新宋体" w:hAnsi="新宋体" w:eastAsia="新宋体" w:cs="新宋体"/>
                <w:i w:val="0"/>
                <w:iCs w:val="0"/>
                <w:caps w:val="0"/>
                <w:color w:val="auto"/>
                <w:spacing w:val="0"/>
                <w:kern w:val="0"/>
                <w:sz w:val="24"/>
                <w:szCs w:val="24"/>
                <w:lang w:val="en-US" w:eastAsia="zh-CN" w:bidi="ar"/>
              </w:rPr>
              <w:t>30%</w:t>
            </w:r>
          </w:p>
        </w:tc>
        <w:tc>
          <w:tcPr>
            <w:tcW w:w="5118" w:type="dxa"/>
            <w:shd w:val="clear" w:color="auto" w:fill="FFFFFF"/>
            <w:noWrap w:val="0"/>
            <w:tcMar>
              <w:top w:w="150" w:type="dxa"/>
              <w:left w:w="240" w:type="dxa"/>
              <w:bottom w:w="150" w:type="dxa"/>
              <w:right w:w="0" w:type="dxa"/>
            </w:tcMar>
            <w:vAlign w:val="center"/>
          </w:tcPr>
          <w:p w14:paraId="3B1E93A2">
            <w:pPr>
              <w:keepNext w:val="0"/>
              <w:keepLines w:val="0"/>
              <w:widowControl/>
              <w:suppressLineNumbers w:val="0"/>
              <w:jc w:val="center"/>
              <w:rPr>
                <w:rFonts w:hint="eastAsia" w:ascii="新宋体" w:hAnsi="新宋体" w:eastAsia="新宋体" w:cs="新宋体"/>
                <w:i w:val="0"/>
                <w:iCs w:val="0"/>
                <w:caps w:val="0"/>
                <w:color w:val="auto"/>
                <w:spacing w:val="0"/>
                <w:sz w:val="24"/>
                <w:szCs w:val="24"/>
              </w:rPr>
            </w:pPr>
            <w:r>
              <w:rPr>
                <w:rFonts w:hint="eastAsia" w:ascii="新宋体" w:hAnsi="新宋体" w:eastAsia="新宋体" w:cs="新宋体"/>
                <w:i w:val="0"/>
                <w:iCs w:val="0"/>
                <w:caps w:val="0"/>
                <w:color w:val="auto"/>
                <w:spacing w:val="0"/>
                <w:kern w:val="0"/>
                <w:sz w:val="24"/>
                <w:szCs w:val="24"/>
                <w:lang w:val="en-US" w:eastAsia="zh-CN" w:bidi="ar"/>
              </w:rPr>
              <w:t>合同签订生效后10个工作日内支付</w:t>
            </w:r>
          </w:p>
        </w:tc>
      </w:tr>
      <w:tr w14:paraId="13CF5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c>
          <w:tcPr>
            <w:tcW w:w="2055" w:type="dxa"/>
            <w:shd w:val="clear" w:color="auto" w:fill="FFFFFF"/>
            <w:noWrap w:val="0"/>
            <w:tcMar>
              <w:top w:w="150" w:type="dxa"/>
              <w:left w:w="0" w:type="dxa"/>
              <w:bottom w:w="150" w:type="dxa"/>
              <w:right w:w="240" w:type="dxa"/>
            </w:tcMar>
            <w:vAlign w:val="center"/>
          </w:tcPr>
          <w:p w14:paraId="17D8749A">
            <w:pPr>
              <w:keepNext w:val="0"/>
              <w:keepLines w:val="0"/>
              <w:widowControl/>
              <w:suppressLineNumbers w:val="0"/>
              <w:jc w:val="center"/>
              <w:rPr>
                <w:rFonts w:hint="eastAsia" w:ascii="新宋体" w:hAnsi="新宋体" w:eastAsia="新宋体" w:cs="新宋体"/>
                <w:i w:val="0"/>
                <w:iCs w:val="0"/>
                <w:caps w:val="0"/>
                <w:color w:val="auto"/>
                <w:spacing w:val="0"/>
                <w:sz w:val="24"/>
                <w:szCs w:val="24"/>
              </w:rPr>
            </w:pPr>
            <w:r>
              <w:rPr>
                <w:rFonts w:hint="eastAsia" w:ascii="新宋体" w:hAnsi="新宋体" w:eastAsia="新宋体" w:cs="新宋体"/>
                <w:i w:val="0"/>
                <w:iCs w:val="0"/>
                <w:caps w:val="0"/>
                <w:color w:val="auto"/>
                <w:spacing w:val="0"/>
                <w:kern w:val="0"/>
                <w:sz w:val="24"/>
                <w:szCs w:val="24"/>
                <w:lang w:val="en-US" w:eastAsia="zh-CN" w:bidi="ar"/>
              </w:rPr>
              <w:t>上线试运行款</w:t>
            </w:r>
          </w:p>
        </w:tc>
        <w:tc>
          <w:tcPr>
            <w:tcW w:w="1978" w:type="dxa"/>
            <w:shd w:val="clear" w:color="auto" w:fill="FFFFFF"/>
            <w:noWrap w:val="0"/>
            <w:tcMar>
              <w:top w:w="150" w:type="dxa"/>
              <w:left w:w="240" w:type="dxa"/>
              <w:bottom w:w="150" w:type="dxa"/>
              <w:right w:w="240" w:type="dxa"/>
            </w:tcMar>
            <w:vAlign w:val="center"/>
          </w:tcPr>
          <w:p w14:paraId="25743DD3">
            <w:pPr>
              <w:keepNext w:val="0"/>
              <w:keepLines w:val="0"/>
              <w:widowControl/>
              <w:suppressLineNumbers w:val="0"/>
              <w:jc w:val="center"/>
              <w:rPr>
                <w:rFonts w:hint="eastAsia" w:ascii="新宋体" w:hAnsi="新宋体" w:eastAsia="新宋体" w:cs="新宋体"/>
                <w:i w:val="0"/>
                <w:iCs w:val="0"/>
                <w:caps w:val="0"/>
                <w:color w:val="auto"/>
                <w:spacing w:val="0"/>
                <w:sz w:val="24"/>
                <w:szCs w:val="24"/>
              </w:rPr>
            </w:pPr>
            <w:r>
              <w:rPr>
                <w:rFonts w:hint="eastAsia" w:ascii="新宋体" w:hAnsi="新宋体" w:eastAsia="新宋体" w:cs="新宋体"/>
                <w:i w:val="0"/>
                <w:iCs w:val="0"/>
                <w:caps w:val="0"/>
                <w:color w:val="auto"/>
                <w:spacing w:val="0"/>
                <w:kern w:val="0"/>
                <w:sz w:val="24"/>
                <w:szCs w:val="24"/>
                <w:lang w:val="en-US" w:eastAsia="zh-CN" w:bidi="ar"/>
              </w:rPr>
              <w:t>30%</w:t>
            </w:r>
          </w:p>
        </w:tc>
        <w:tc>
          <w:tcPr>
            <w:tcW w:w="5118" w:type="dxa"/>
            <w:shd w:val="clear" w:color="auto" w:fill="FFFFFF"/>
            <w:noWrap w:val="0"/>
            <w:tcMar>
              <w:top w:w="150" w:type="dxa"/>
              <w:left w:w="240" w:type="dxa"/>
              <w:bottom w:w="150" w:type="dxa"/>
              <w:right w:w="0" w:type="dxa"/>
            </w:tcMar>
            <w:vAlign w:val="center"/>
          </w:tcPr>
          <w:p w14:paraId="733D1E85">
            <w:pPr>
              <w:keepNext w:val="0"/>
              <w:keepLines w:val="0"/>
              <w:widowControl/>
              <w:suppressLineNumbers w:val="0"/>
              <w:jc w:val="center"/>
              <w:rPr>
                <w:rFonts w:hint="eastAsia" w:ascii="新宋体" w:hAnsi="新宋体" w:eastAsia="新宋体" w:cs="新宋体"/>
                <w:i w:val="0"/>
                <w:iCs w:val="0"/>
                <w:caps w:val="0"/>
                <w:color w:val="auto"/>
                <w:spacing w:val="0"/>
                <w:sz w:val="24"/>
                <w:szCs w:val="24"/>
              </w:rPr>
            </w:pPr>
            <w:r>
              <w:rPr>
                <w:rFonts w:hint="eastAsia" w:ascii="新宋体" w:hAnsi="新宋体" w:eastAsia="新宋体" w:cs="新宋体"/>
                <w:i w:val="0"/>
                <w:iCs w:val="0"/>
                <w:caps w:val="0"/>
                <w:color w:val="auto"/>
                <w:spacing w:val="0"/>
                <w:kern w:val="0"/>
                <w:sz w:val="24"/>
                <w:szCs w:val="24"/>
                <w:lang w:val="en-US" w:eastAsia="zh-CN" w:bidi="ar"/>
              </w:rPr>
              <w:t>系统上线试运行满1个月且问题闭环后10个工作日内支付</w:t>
            </w:r>
          </w:p>
        </w:tc>
      </w:tr>
      <w:tr w14:paraId="43C69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c>
          <w:tcPr>
            <w:tcW w:w="2055" w:type="dxa"/>
            <w:shd w:val="clear" w:color="auto" w:fill="FFFFFF"/>
            <w:noWrap w:val="0"/>
            <w:tcMar>
              <w:top w:w="150" w:type="dxa"/>
              <w:left w:w="0" w:type="dxa"/>
              <w:bottom w:w="150" w:type="dxa"/>
              <w:right w:w="240" w:type="dxa"/>
            </w:tcMar>
            <w:vAlign w:val="center"/>
          </w:tcPr>
          <w:p w14:paraId="7722407F">
            <w:pPr>
              <w:keepNext w:val="0"/>
              <w:keepLines w:val="0"/>
              <w:widowControl/>
              <w:suppressLineNumbers w:val="0"/>
              <w:jc w:val="center"/>
              <w:rPr>
                <w:rFonts w:hint="eastAsia" w:ascii="新宋体" w:hAnsi="新宋体" w:eastAsia="新宋体" w:cs="新宋体"/>
                <w:i w:val="0"/>
                <w:iCs w:val="0"/>
                <w:caps w:val="0"/>
                <w:color w:val="auto"/>
                <w:spacing w:val="0"/>
                <w:sz w:val="24"/>
                <w:szCs w:val="24"/>
              </w:rPr>
            </w:pPr>
            <w:r>
              <w:rPr>
                <w:rFonts w:hint="eastAsia" w:ascii="新宋体" w:hAnsi="新宋体" w:eastAsia="新宋体" w:cs="新宋体"/>
                <w:i w:val="0"/>
                <w:iCs w:val="0"/>
                <w:caps w:val="0"/>
                <w:color w:val="auto"/>
                <w:spacing w:val="0"/>
                <w:kern w:val="0"/>
                <w:sz w:val="24"/>
                <w:szCs w:val="24"/>
                <w:lang w:val="en-US" w:eastAsia="zh-CN" w:bidi="ar"/>
              </w:rPr>
              <w:t>验收尾款</w:t>
            </w:r>
          </w:p>
        </w:tc>
        <w:tc>
          <w:tcPr>
            <w:tcW w:w="1978" w:type="dxa"/>
            <w:shd w:val="clear" w:color="auto" w:fill="FFFFFF"/>
            <w:noWrap w:val="0"/>
            <w:tcMar>
              <w:top w:w="150" w:type="dxa"/>
              <w:left w:w="240" w:type="dxa"/>
              <w:bottom w:w="150" w:type="dxa"/>
              <w:right w:w="240" w:type="dxa"/>
            </w:tcMar>
            <w:vAlign w:val="center"/>
          </w:tcPr>
          <w:p w14:paraId="19B52382">
            <w:pPr>
              <w:keepNext w:val="0"/>
              <w:keepLines w:val="0"/>
              <w:widowControl/>
              <w:suppressLineNumbers w:val="0"/>
              <w:jc w:val="center"/>
              <w:rPr>
                <w:rFonts w:hint="default" w:ascii="新宋体" w:hAnsi="新宋体" w:eastAsia="新宋体" w:cs="新宋体"/>
                <w:i w:val="0"/>
                <w:iCs w:val="0"/>
                <w:caps w:val="0"/>
                <w:color w:val="auto"/>
                <w:spacing w:val="0"/>
                <w:sz w:val="24"/>
                <w:szCs w:val="24"/>
                <w:lang w:val="en-US"/>
              </w:rPr>
            </w:pPr>
            <w:r>
              <w:rPr>
                <w:rFonts w:hint="eastAsia" w:ascii="新宋体" w:hAnsi="新宋体" w:eastAsia="新宋体" w:cs="新宋体"/>
                <w:i w:val="0"/>
                <w:iCs w:val="0"/>
                <w:caps w:val="0"/>
                <w:color w:val="auto"/>
                <w:spacing w:val="0"/>
                <w:kern w:val="0"/>
                <w:sz w:val="24"/>
                <w:szCs w:val="24"/>
                <w:lang w:val="en-US" w:eastAsia="zh-CN" w:bidi="ar"/>
              </w:rPr>
              <w:t>40%</w:t>
            </w:r>
          </w:p>
        </w:tc>
        <w:tc>
          <w:tcPr>
            <w:tcW w:w="5118" w:type="dxa"/>
            <w:shd w:val="clear" w:color="auto" w:fill="FFFFFF"/>
            <w:noWrap w:val="0"/>
            <w:tcMar>
              <w:top w:w="150" w:type="dxa"/>
              <w:left w:w="240" w:type="dxa"/>
              <w:bottom w:w="150" w:type="dxa"/>
              <w:right w:w="0" w:type="dxa"/>
            </w:tcMar>
            <w:vAlign w:val="center"/>
          </w:tcPr>
          <w:p w14:paraId="61773CB2">
            <w:pPr>
              <w:keepNext w:val="0"/>
              <w:keepLines w:val="0"/>
              <w:widowControl/>
              <w:suppressLineNumbers w:val="0"/>
              <w:jc w:val="center"/>
              <w:rPr>
                <w:rFonts w:hint="eastAsia" w:ascii="新宋体" w:hAnsi="新宋体" w:eastAsia="新宋体" w:cs="新宋体"/>
                <w:i w:val="0"/>
                <w:iCs w:val="0"/>
                <w:caps w:val="0"/>
                <w:color w:val="auto"/>
                <w:spacing w:val="0"/>
                <w:sz w:val="24"/>
                <w:szCs w:val="24"/>
              </w:rPr>
            </w:pPr>
            <w:r>
              <w:rPr>
                <w:rFonts w:hint="eastAsia" w:ascii="新宋体" w:hAnsi="新宋体" w:eastAsia="新宋体" w:cs="新宋体"/>
                <w:i w:val="0"/>
                <w:iCs w:val="0"/>
                <w:caps w:val="0"/>
                <w:color w:val="auto"/>
                <w:spacing w:val="0"/>
                <w:kern w:val="0"/>
                <w:sz w:val="24"/>
                <w:szCs w:val="24"/>
                <w:lang w:val="en-US" w:eastAsia="zh-CN" w:bidi="ar"/>
              </w:rPr>
              <w:t>项目验收合格并交付全部文档后10个工作日内支付</w:t>
            </w:r>
          </w:p>
        </w:tc>
      </w:tr>
    </w:tbl>
    <w:p w14:paraId="5C6076D5">
      <w:pPr>
        <w:pStyle w:val="8"/>
        <w:rPr>
          <w:rFonts w:hint="eastAsia"/>
          <w:color w:val="auto"/>
          <w:lang w:val="en-US" w:eastAsia="zh-CN"/>
        </w:rPr>
      </w:pPr>
    </w:p>
    <w:p w14:paraId="7C802D88">
      <w:pPr>
        <w:numPr>
          <w:ilvl w:val="0"/>
          <w:numId w:val="1"/>
        </w:numPr>
        <w:ind w:left="0" w:leftChars="0" w:firstLine="0" w:firstLineChars="0"/>
        <w:rPr>
          <w:rFonts w:hint="eastAsia" w:eastAsia="宋体" w:cs="Times New Roman"/>
          <w:b/>
          <w:bCs/>
          <w:color w:val="auto"/>
          <w:sz w:val="28"/>
          <w:szCs w:val="36"/>
          <w:lang w:val="en-US" w:eastAsia="zh-CN"/>
        </w:rPr>
      </w:pPr>
      <w:r>
        <w:rPr>
          <w:rFonts w:hint="eastAsia" w:eastAsia="宋体" w:cs="Times New Roman"/>
          <w:b/>
          <w:bCs/>
          <w:color w:val="auto"/>
          <w:sz w:val="28"/>
          <w:szCs w:val="36"/>
          <w:lang w:val="en-US" w:eastAsia="zh-CN"/>
        </w:rPr>
        <w:t>保密要求：</w:t>
      </w:r>
    </w:p>
    <w:p w14:paraId="0569D0A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b/>
          <w:bCs/>
          <w:color w:val="auto"/>
          <w:sz w:val="32"/>
          <w:szCs w:val="32"/>
          <w:lang w:val="en-US" w:eastAsia="zh-CN"/>
        </w:rPr>
      </w:pPr>
      <w:r>
        <w:rPr>
          <w:rFonts w:hint="eastAsia" w:eastAsia="宋体" w:cs="Times New Roman"/>
          <w:b w:val="0"/>
          <w:bCs w:val="0"/>
          <w:color w:val="auto"/>
          <w:sz w:val="28"/>
          <w:szCs w:val="36"/>
          <w:lang w:val="en-US" w:eastAsia="zh-CN"/>
        </w:rPr>
        <w:t>供应商及其人员须对采购人业务数据、管理制度、经营信息等严格保密，不得泄露或用于本项目以外用途。保密义务在合同终止后仍持续有效。</w:t>
      </w:r>
    </w:p>
    <w:p w14:paraId="4983A5C4">
      <w:pPr>
        <w:pStyle w:val="8"/>
        <w:rPr>
          <w:rFonts w:hint="eastAsia"/>
          <w:color w:val="auto"/>
          <w:lang w:val="en-US" w:eastAsia="zh-CN"/>
        </w:rPr>
      </w:pPr>
    </w:p>
    <w:p w14:paraId="10A0758C">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黑体" w:hAnsi="黑体" w:eastAsia="黑体" w:cs="黑体"/>
          <w:b/>
          <w:bCs/>
          <w:color w:val="auto"/>
          <w:sz w:val="32"/>
          <w:szCs w:val="32"/>
          <w:lang w:val="en-US" w:eastAsia="zh-CN"/>
        </w:rPr>
      </w:pPr>
      <w:r>
        <w:rPr>
          <w:rFonts w:hint="eastAsia" w:ascii="黑体" w:hAnsi="黑体" w:eastAsia="黑体" w:cs="黑体"/>
          <w:b/>
          <w:bCs/>
          <w:color w:val="auto"/>
          <w:sz w:val="32"/>
          <w:szCs w:val="32"/>
          <w:lang w:val="en-US" w:eastAsia="zh-CN"/>
        </w:rPr>
        <w:t>三、评分办法表</w:t>
      </w:r>
    </w:p>
    <w:tbl>
      <w:tblPr>
        <w:tblStyle w:val="10"/>
        <w:tblW w:w="9000" w:type="dxa"/>
        <w:jc w:val="center"/>
        <w:tblLayout w:type="fixed"/>
        <w:tblCellMar>
          <w:top w:w="0" w:type="dxa"/>
          <w:left w:w="108" w:type="dxa"/>
          <w:bottom w:w="0" w:type="dxa"/>
          <w:right w:w="108" w:type="dxa"/>
        </w:tblCellMar>
      </w:tblPr>
      <w:tblGrid>
        <w:gridCol w:w="507"/>
        <w:gridCol w:w="960"/>
        <w:gridCol w:w="695"/>
        <w:gridCol w:w="6225"/>
        <w:gridCol w:w="613"/>
      </w:tblGrid>
      <w:tr w14:paraId="37849F41">
        <w:tblPrEx>
          <w:tblCellMar>
            <w:top w:w="0" w:type="dxa"/>
            <w:left w:w="108" w:type="dxa"/>
            <w:bottom w:w="0" w:type="dxa"/>
            <w:right w:w="108" w:type="dxa"/>
          </w:tblCellMar>
        </w:tblPrEx>
        <w:trPr>
          <w:trHeight w:val="779" w:hRule="atLeast"/>
          <w:jc w:val="center"/>
        </w:trPr>
        <w:tc>
          <w:tcPr>
            <w:tcW w:w="507" w:type="dxa"/>
            <w:tcBorders>
              <w:top w:val="single" w:color="000000" w:sz="4" w:space="0"/>
              <w:left w:val="single" w:color="000000" w:sz="4" w:space="0"/>
              <w:bottom w:val="single" w:color="000000" w:sz="4" w:space="0"/>
              <w:right w:val="single" w:color="000000" w:sz="4" w:space="0"/>
            </w:tcBorders>
            <w:noWrap/>
            <w:vAlign w:val="center"/>
          </w:tcPr>
          <w:p w14:paraId="575C6037">
            <w:pPr>
              <w:pStyle w:val="4"/>
              <w:jc w:val="center"/>
              <w:rPr>
                <w:rFonts w:ascii="宋体" w:hAnsi="宋体" w:cs="宋体"/>
                <w:color w:val="auto"/>
                <w:sz w:val="22"/>
                <w:szCs w:val="28"/>
              </w:rPr>
            </w:pPr>
            <w:r>
              <w:rPr>
                <w:rFonts w:hint="eastAsia" w:ascii="宋体" w:hAnsi="宋体" w:cs="宋体"/>
                <w:color w:val="auto"/>
                <w:sz w:val="22"/>
                <w:szCs w:val="28"/>
              </w:rPr>
              <w:t>序号</w:t>
            </w:r>
          </w:p>
        </w:tc>
        <w:tc>
          <w:tcPr>
            <w:tcW w:w="960" w:type="dxa"/>
            <w:tcBorders>
              <w:top w:val="single" w:color="000000" w:sz="4" w:space="0"/>
              <w:left w:val="nil"/>
              <w:bottom w:val="single" w:color="000000" w:sz="4" w:space="0"/>
              <w:right w:val="single" w:color="000000" w:sz="4" w:space="0"/>
            </w:tcBorders>
            <w:noWrap/>
            <w:vAlign w:val="center"/>
          </w:tcPr>
          <w:p w14:paraId="0FFB98F0">
            <w:pPr>
              <w:pStyle w:val="4"/>
              <w:jc w:val="center"/>
              <w:rPr>
                <w:rFonts w:ascii="宋体" w:hAnsi="宋体" w:cs="宋体"/>
                <w:color w:val="auto"/>
                <w:sz w:val="22"/>
                <w:szCs w:val="28"/>
              </w:rPr>
            </w:pPr>
            <w:r>
              <w:rPr>
                <w:rFonts w:hint="eastAsia" w:ascii="宋体" w:hAnsi="宋体" w:cs="宋体"/>
                <w:color w:val="auto"/>
                <w:sz w:val="22"/>
                <w:szCs w:val="28"/>
              </w:rPr>
              <w:t>评分因素及权重</w:t>
            </w:r>
          </w:p>
        </w:tc>
        <w:tc>
          <w:tcPr>
            <w:tcW w:w="695" w:type="dxa"/>
            <w:tcBorders>
              <w:top w:val="single" w:color="000000" w:sz="4" w:space="0"/>
              <w:left w:val="nil"/>
              <w:bottom w:val="single" w:color="000000" w:sz="4" w:space="0"/>
              <w:right w:val="single" w:color="000000" w:sz="4" w:space="0"/>
            </w:tcBorders>
            <w:noWrap/>
            <w:vAlign w:val="center"/>
          </w:tcPr>
          <w:p w14:paraId="33033A07">
            <w:pPr>
              <w:pStyle w:val="4"/>
              <w:jc w:val="center"/>
              <w:rPr>
                <w:rFonts w:ascii="宋体" w:hAnsi="宋体" w:cs="宋体"/>
                <w:color w:val="auto"/>
                <w:sz w:val="22"/>
                <w:szCs w:val="28"/>
              </w:rPr>
            </w:pPr>
            <w:r>
              <w:rPr>
                <w:rFonts w:hint="eastAsia" w:ascii="宋体" w:hAnsi="宋体" w:cs="宋体"/>
                <w:color w:val="auto"/>
                <w:sz w:val="22"/>
                <w:szCs w:val="28"/>
              </w:rPr>
              <w:t>分值</w:t>
            </w:r>
          </w:p>
        </w:tc>
        <w:tc>
          <w:tcPr>
            <w:tcW w:w="6225" w:type="dxa"/>
            <w:tcBorders>
              <w:top w:val="single" w:color="000000" w:sz="4" w:space="0"/>
              <w:left w:val="nil"/>
              <w:bottom w:val="single" w:color="000000" w:sz="4" w:space="0"/>
              <w:right w:val="single" w:color="000000" w:sz="4" w:space="0"/>
            </w:tcBorders>
            <w:noWrap/>
            <w:vAlign w:val="center"/>
          </w:tcPr>
          <w:p w14:paraId="60FE3065">
            <w:pPr>
              <w:pStyle w:val="4"/>
              <w:jc w:val="center"/>
              <w:rPr>
                <w:rFonts w:ascii="宋体" w:hAnsi="宋体" w:cs="宋体"/>
                <w:color w:val="auto"/>
                <w:sz w:val="22"/>
                <w:szCs w:val="28"/>
              </w:rPr>
            </w:pPr>
            <w:r>
              <w:rPr>
                <w:rFonts w:hint="eastAsia" w:ascii="宋体" w:hAnsi="宋体" w:cs="宋体"/>
                <w:color w:val="auto"/>
                <w:sz w:val="22"/>
                <w:szCs w:val="28"/>
              </w:rPr>
              <w:t>评分标准</w:t>
            </w:r>
          </w:p>
        </w:tc>
        <w:tc>
          <w:tcPr>
            <w:tcW w:w="613" w:type="dxa"/>
            <w:tcBorders>
              <w:top w:val="single" w:color="000000" w:sz="4" w:space="0"/>
              <w:left w:val="nil"/>
              <w:bottom w:val="single" w:color="000000" w:sz="4" w:space="0"/>
              <w:right w:val="single" w:color="000000" w:sz="4" w:space="0"/>
            </w:tcBorders>
            <w:noWrap/>
            <w:vAlign w:val="center"/>
          </w:tcPr>
          <w:p w14:paraId="3B57FC7A">
            <w:pPr>
              <w:pStyle w:val="4"/>
              <w:jc w:val="center"/>
              <w:rPr>
                <w:rFonts w:ascii="宋体" w:hAnsi="宋体" w:cs="宋体"/>
                <w:color w:val="auto"/>
                <w:sz w:val="22"/>
                <w:szCs w:val="28"/>
              </w:rPr>
            </w:pPr>
            <w:r>
              <w:rPr>
                <w:rFonts w:hint="eastAsia" w:ascii="宋体" w:hAnsi="宋体" w:cs="宋体"/>
                <w:color w:val="auto"/>
                <w:sz w:val="22"/>
                <w:szCs w:val="28"/>
              </w:rPr>
              <w:t>备注</w:t>
            </w:r>
          </w:p>
        </w:tc>
      </w:tr>
      <w:tr w14:paraId="3B19BC47">
        <w:tblPrEx>
          <w:tblCellMar>
            <w:top w:w="0" w:type="dxa"/>
            <w:left w:w="108" w:type="dxa"/>
            <w:bottom w:w="0" w:type="dxa"/>
            <w:right w:w="108" w:type="dxa"/>
          </w:tblCellMar>
        </w:tblPrEx>
        <w:trPr>
          <w:trHeight w:val="1576" w:hRule="atLeast"/>
          <w:jc w:val="center"/>
        </w:trPr>
        <w:tc>
          <w:tcPr>
            <w:tcW w:w="507" w:type="dxa"/>
            <w:tcBorders>
              <w:top w:val="single" w:color="000000" w:sz="4" w:space="0"/>
              <w:left w:val="single" w:color="000000" w:sz="4" w:space="0"/>
              <w:bottom w:val="single" w:color="000000" w:sz="4" w:space="0"/>
              <w:right w:val="single" w:color="000000" w:sz="4" w:space="0"/>
            </w:tcBorders>
            <w:noWrap/>
            <w:vAlign w:val="center"/>
          </w:tcPr>
          <w:p w14:paraId="63C01B68">
            <w:pPr>
              <w:pStyle w:val="4"/>
              <w:jc w:val="center"/>
              <w:rPr>
                <w:rFonts w:ascii="宋体" w:hAnsi="宋体" w:cs="宋体"/>
                <w:color w:val="auto"/>
                <w:sz w:val="22"/>
                <w:szCs w:val="28"/>
              </w:rPr>
            </w:pPr>
            <w:r>
              <w:rPr>
                <w:rFonts w:hint="eastAsia" w:ascii="宋体" w:hAnsi="宋体" w:cs="宋体"/>
                <w:color w:val="auto"/>
                <w:sz w:val="22"/>
                <w:szCs w:val="28"/>
              </w:rPr>
              <w:t>1</w:t>
            </w:r>
          </w:p>
        </w:tc>
        <w:tc>
          <w:tcPr>
            <w:tcW w:w="960" w:type="dxa"/>
            <w:tcBorders>
              <w:top w:val="single" w:color="000000" w:sz="4" w:space="0"/>
              <w:left w:val="nil"/>
              <w:bottom w:val="single" w:color="000000" w:sz="4" w:space="0"/>
              <w:right w:val="single" w:color="000000" w:sz="4" w:space="0"/>
            </w:tcBorders>
            <w:noWrap/>
            <w:vAlign w:val="center"/>
          </w:tcPr>
          <w:p w14:paraId="1A5968FB">
            <w:pPr>
              <w:pStyle w:val="4"/>
              <w:jc w:val="center"/>
              <w:rPr>
                <w:rFonts w:ascii="宋体" w:hAnsi="宋体" w:cs="宋体"/>
                <w:color w:val="auto"/>
                <w:sz w:val="22"/>
                <w:szCs w:val="28"/>
              </w:rPr>
            </w:pPr>
            <w:r>
              <w:rPr>
                <w:rFonts w:hint="eastAsia" w:ascii="宋体" w:hAnsi="宋体" w:cs="宋体"/>
                <w:color w:val="auto"/>
                <w:sz w:val="22"/>
                <w:szCs w:val="28"/>
              </w:rPr>
              <w:t>报价</w:t>
            </w:r>
          </w:p>
          <w:p w14:paraId="14B35D38">
            <w:pPr>
              <w:pStyle w:val="4"/>
              <w:jc w:val="center"/>
              <w:rPr>
                <w:rFonts w:ascii="宋体" w:hAnsi="宋体" w:cs="宋体"/>
                <w:color w:val="auto"/>
                <w:sz w:val="22"/>
                <w:szCs w:val="28"/>
              </w:rPr>
            </w:pPr>
            <w:r>
              <w:rPr>
                <w:rFonts w:hint="eastAsia" w:ascii="宋体" w:hAnsi="宋体" w:cs="宋体"/>
                <w:color w:val="auto"/>
                <w:sz w:val="22"/>
                <w:szCs w:val="28"/>
                <w:lang w:val="en-US" w:eastAsia="zh-CN"/>
              </w:rPr>
              <w:t>30</w:t>
            </w:r>
            <w:r>
              <w:rPr>
                <w:rFonts w:hint="eastAsia" w:ascii="宋体" w:hAnsi="宋体" w:cs="宋体"/>
                <w:color w:val="auto"/>
                <w:sz w:val="22"/>
                <w:szCs w:val="28"/>
              </w:rPr>
              <w:t>%</w:t>
            </w:r>
          </w:p>
        </w:tc>
        <w:tc>
          <w:tcPr>
            <w:tcW w:w="695" w:type="dxa"/>
            <w:tcBorders>
              <w:top w:val="single" w:color="000000" w:sz="4" w:space="0"/>
              <w:left w:val="nil"/>
              <w:bottom w:val="single" w:color="000000" w:sz="4" w:space="0"/>
              <w:right w:val="single" w:color="000000" w:sz="4" w:space="0"/>
            </w:tcBorders>
            <w:noWrap/>
            <w:vAlign w:val="center"/>
          </w:tcPr>
          <w:p w14:paraId="13FA71B9">
            <w:pPr>
              <w:pStyle w:val="4"/>
              <w:jc w:val="center"/>
              <w:rPr>
                <w:rFonts w:ascii="宋体" w:hAnsi="宋体" w:cs="宋体"/>
                <w:color w:val="auto"/>
                <w:sz w:val="22"/>
                <w:szCs w:val="28"/>
              </w:rPr>
            </w:pPr>
            <w:r>
              <w:rPr>
                <w:rFonts w:hint="eastAsia" w:ascii="宋体" w:hAnsi="宋体" w:cs="宋体"/>
                <w:color w:val="auto"/>
                <w:sz w:val="22"/>
                <w:szCs w:val="28"/>
                <w:lang w:val="en-US" w:eastAsia="zh-CN"/>
              </w:rPr>
              <w:t>30</w:t>
            </w:r>
            <w:r>
              <w:rPr>
                <w:rFonts w:hint="eastAsia" w:ascii="宋体" w:hAnsi="宋体" w:cs="宋体"/>
                <w:color w:val="auto"/>
                <w:sz w:val="22"/>
                <w:szCs w:val="28"/>
              </w:rPr>
              <w:t>分</w:t>
            </w:r>
          </w:p>
        </w:tc>
        <w:tc>
          <w:tcPr>
            <w:tcW w:w="6225" w:type="dxa"/>
            <w:tcBorders>
              <w:top w:val="single" w:color="000000" w:sz="4" w:space="0"/>
              <w:left w:val="nil"/>
              <w:bottom w:val="single" w:color="000000" w:sz="4" w:space="0"/>
              <w:right w:val="single" w:color="000000" w:sz="4" w:space="0"/>
            </w:tcBorders>
            <w:noWrap/>
            <w:vAlign w:val="top"/>
          </w:tcPr>
          <w:p w14:paraId="3F423636">
            <w:pPr>
              <w:pStyle w:val="3"/>
              <w:keepNext w:val="0"/>
              <w:keepLines w:val="0"/>
              <w:spacing w:before="0" w:after="0" w:line="400" w:lineRule="exact"/>
              <w:ind w:firstLine="560" w:firstLineChars="200"/>
              <w:rPr>
                <w:rFonts w:ascii="宋体" w:hAnsi="宋体" w:eastAsia="宋体" w:cs="宋体"/>
                <w:b w:val="0"/>
                <w:bCs w:val="0"/>
                <w:color w:val="auto"/>
                <w:sz w:val="32"/>
                <w:szCs w:val="32"/>
              </w:rPr>
            </w:pPr>
            <w:r>
              <w:rPr>
                <w:rFonts w:hint="eastAsia" w:ascii="宋体" w:hAnsi="宋体" w:eastAsia="宋体" w:cs="宋体"/>
                <w:b w:val="0"/>
                <w:bCs w:val="0"/>
                <w:color w:val="auto"/>
                <w:kern w:val="2"/>
                <w:sz w:val="28"/>
                <w:szCs w:val="28"/>
              </w:rPr>
              <w:t>满足招标文件要求且报价最低的投标人的价格为磋商基准价，其价格分为满分。其他投标人的价格分统一按照下列公式计算：投标报价得分=（投标基准价/投标报价）×</w:t>
            </w:r>
            <w:r>
              <w:rPr>
                <w:rFonts w:hint="eastAsia" w:ascii="宋体" w:hAnsi="宋体" w:eastAsia="宋体" w:cs="宋体"/>
                <w:b w:val="0"/>
                <w:bCs w:val="0"/>
                <w:color w:val="auto"/>
                <w:kern w:val="2"/>
                <w:sz w:val="28"/>
                <w:szCs w:val="28"/>
                <w:lang w:val="en-US" w:eastAsia="zh-CN"/>
              </w:rPr>
              <w:t>30</w:t>
            </w:r>
            <w:r>
              <w:rPr>
                <w:rFonts w:hint="eastAsia" w:ascii="宋体" w:hAnsi="宋体" w:eastAsia="宋体" w:cs="宋体"/>
                <w:b w:val="0"/>
                <w:bCs w:val="0"/>
                <w:color w:val="auto"/>
                <w:kern w:val="2"/>
                <w:sz w:val="28"/>
                <w:szCs w:val="28"/>
              </w:rPr>
              <w:t>%×100。</w:t>
            </w:r>
          </w:p>
        </w:tc>
        <w:tc>
          <w:tcPr>
            <w:tcW w:w="613" w:type="dxa"/>
            <w:tcBorders>
              <w:top w:val="single" w:color="000000" w:sz="4" w:space="0"/>
              <w:left w:val="nil"/>
              <w:bottom w:val="single" w:color="000000" w:sz="4" w:space="0"/>
              <w:right w:val="single" w:color="000000" w:sz="4" w:space="0"/>
            </w:tcBorders>
            <w:noWrap/>
            <w:vAlign w:val="center"/>
          </w:tcPr>
          <w:p w14:paraId="32E775A6">
            <w:pPr>
              <w:pStyle w:val="3"/>
              <w:keepNext w:val="0"/>
              <w:keepLines w:val="0"/>
              <w:spacing w:before="0" w:after="0" w:line="400" w:lineRule="exact"/>
              <w:rPr>
                <w:rFonts w:ascii="宋体" w:hAnsi="宋体" w:eastAsia="宋体" w:cs="宋体"/>
                <w:b w:val="0"/>
                <w:bCs w:val="0"/>
                <w:color w:val="auto"/>
                <w:sz w:val="32"/>
                <w:szCs w:val="32"/>
              </w:rPr>
            </w:pPr>
          </w:p>
        </w:tc>
      </w:tr>
      <w:tr w14:paraId="5A361556">
        <w:tblPrEx>
          <w:tblCellMar>
            <w:top w:w="0" w:type="dxa"/>
            <w:left w:w="108" w:type="dxa"/>
            <w:bottom w:w="0" w:type="dxa"/>
            <w:right w:w="108" w:type="dxa"/>
          </w:tblCellMar>
        </w:tblPrEx>
        <w:trPr>
          <w:trHeight w:val="1852" w:hRule="atLeast"/>
          <w:jc w:val="center"/>
        </w:trPr>
        <w:tc>
          <w:tcPr>
            <w:tcW w:w="507" w:type="dxa"/>
            <w:tcBorders>
              <w:top w:val="single" w:color="000000" w:sz="4" w:space="0"/>
              <w:left w:val="single" w:color="000000" w:sz="4" w:space="0"/>
              <w:bottom w:val="single" w:color="000000" w:sz="4" w:space="0"/>
              <w:right w:val="single" w:color="000000" w:sz="4" w:space="0"/>
            </w:tcBorders>
            <w:noWrap/>
            <w:vAlign w:val="center"/>
          </w:tcPr>
          <w:p w14:paraId="5E97F2C8">
            <w:pPr>
              <w:pStyle w:val="4"/>
              <w:jc w:val="center"/>
              <w:rPr>
                <w:rFonts w:ascii="宋体" w:hAnsi="宋体" w:cs="宋体"/>
                <w:color w:val="auto"/>
                <w:sz w:val="22"/>
                <w:szCs w:val="28"/>
              </w:rPr>
            </w:pPr>
            <w:r>
              <w:rPr>
                <w:rFonts w:hint="eastAsia" w:ascii="宋体" w:hAnsi="宋体" w:cs="宋体"/>
                <w:color w:val="auto"/>
                <w:sz w:val="22"/>
                <w:szCs w:val="28"/>
              </w:rPr>
              <w:t>2</w:t>
            </w:r>
          </w:p>
        </w:tc>
        <w:tc>
          <w:tcPr>
            <w:tcW w:w="960" w:type="dxa"/>
            <w:tcBorders>
              <w:top w:val="single" w:color="000000" w:sz="4" w:space="0"/>
              <w:left w:val="nil"/>
              <w:bottom w:val="single" w:color="000000" w:sz="4" w:space="0"/>
              <w:right w:val="single" w:color="000000" w:sz="4" w:space="0"/>
            </w:tcBorders>
            <w:noWrap/>
            <w:vAlign w:val="center"/>
          </w:tcPr>
          <w:p w14:paraId="3FCCDC2D">
            <w:pPr>
              <w:pStyle w:val="4"/>
              <w:jc w:val="center"/>
              <w:rPr>
                <w:rFonts w:ascii="宋体" w:hAnsi="宋体" w:cs="宋体"/>
                <w:color w:val="auto"/>
                <w:sz w:val="22"/>
                <w:szCs w:val="28"/>
              </w:rPr>
            </w:pPr>
            <w:r>
              <w:rPr>
                <w:rFonts w:hint="eastAsia" w:ascii="宋体" w:hAnsi="宋体" w:cs="宋体"/>
                <w:color w:val="auto"/>
                <w:sz w:val="22"/>
                <w:szCs w:val="28"/>
              </w:rPr>
              <w:t>项目实施方案</w:t>
            </w:r>
            <w:r>
              <w:rPr>
                <w:rFonts w:hint="eastAsia" w:ascii="宋体" w:hAnsi="宋体" w:cs="宋体"/>
                <w:color w:val="auto"/>
                <w:sz w:val="22"/>
                <w:szCs w:val="28"/>
                <w:lang w:val="en-US" w:eastAsia="zh-CN"/>
              </w:rPr>
              <w:t>15</w:t>
            </w:r>
            <w:r>
              <w:rPr>
                <w:rFonts w:hint="eastAsia" w:ascii="宋体" w:hAnsi="宋体" w:cs="宋体"/>
                <w:color w:val="auto"/>
                <w:sz w:val="22"/>
                <w:szCs w:val="28"/>
              </w:rPr>
              <w:t>%</w:t>
            </w:r>
          </w:p>
        </w:tc>
        <w:tc>
          <w:tcPr>
            <w:tcW w:w="695" w:type="dxa"/>
            <w:tcBorders>
              <w:top w:val="single" w:color="000000" w:sz="4" w:space="0"/>
              <w:left w:val="nil"/>
              <w:bottom w:val="single" w:color="000000" w:sz="4" w:space="0"/>
              <w:right w:val="single" w:color="000000" w:sz="4" w:space="0"/>
            </w:tcBorders>
            <w:noWrap/>
            <w:vAlign w:val="center"/>
          </w:tcPr>
          <w:p w14:paraId="14DCA91B">
            <w:pPr>
              <w:pStyle w:val="4"/>
              <w:jc w:val="center"/>
              <w:rPr>
                <w:rFonts w:ascii="宋体" w:hAnsi="宋体" w:cs="宋体"/>
                <w:color w:val="auto"/>
                <w:sz w:val="22"/>
                <w:szCs w:val="28"/>
              </w:rPr>
            </w:pPr>
            <w:r>
              <w:rPr>
                <w:rFonts w:hint="eastAsia" w:ascii="宋体" w:hAnsi="宋体" w:cs="宋体"/>
                <w:color w:val="auto"/>
                <w:sz w:val="22"/>
                <w:szCs w:val="28"/>
                <w:lang w:val="en-US" w:eastAsia="zh-CN"/>
              </w:rPr>
              <w:t>15</w:t>
            </w:r>
            <w:r>
              <w:rPr>
                <w:rFonts w:hint="eastAsia" w:ascii="宋体" w:hAnsi="宋体" w:cs="宋体"/>
                <w:color w:val="auto"/>
                <w:sz w:val="22"/>
                <w:szCs w:val="28"/>
              </w:rPr>
              <w:t>分</w:t>
            </w:r>
          </w:p>
        </w:tc>
        <w:tc>
          <w:tcPr>
            <w:tcW w:w="6225" w:type="dxa"/>
            <w:tcBorders>
              <w:top w:val="single" w:color="000000" w:sz="4" w:space="0"/>
              <w:left w:val="nil"/>
              <w:bottom w:val="single" w:color="000000" w:sz="4" w:space="0"/>
              <w:right w:val="single" w:color="000000" w:sz="4" w:space="0"/>
            </w:tcBorders>
            <w:noWrap/>
            <w:vAlign w:val="top"/>
          </w:tcPr>
          <w:p w14:paraId="681A8B47">
            <w:pPr>
              <w:ind w:firstLine="440" w:firstLineChars="200"/>
              <w:rPr>
                <w:rFonts w:ascii="宋体" w:hAnsi="宋体" w:cs="宋体"/>
                <w:color w:val="auto"/>
                <w:kern w:val="2"/>
                <w:sz w:val="22"/>
                <w:szCs w:val="28"/>
              </w:rPr>
            </w:pPr>
            <w:r>
              <w:rPr>
                <w:rFonts w:hint="eastAsia" w:ascii="宋体" w:hAnsi="宋体" w:cs="宋体"/>
                <w:color w:val="auto"/>
                <w:kern w:val="2"/>
                <w:sz w:val="22"/>
                <w:szCs w:val="28"/>
              </w:rPr>
              <w:t xml:space="preserve"> </w:t>
            </w:r>
            <w:r>
              <w:rPr>
                <w:rFonts w:hint="eastAsia" w:ascii="宋体" w:hAnsi="宋体" w:eastAsia="宋体" w:cs="宋体"/>
                <w:b w:val="0"/>
                <w:bCs w:val="0"/>
                <w:color w:val="auto"/>
                <w:kern w:val="2"/>
                <w:sz w:val="28"/>
                <w:szCs w:val="28"/>
                <w:lang w:val="en-US" w:eastAsia="zh-CN" w:bidi="ar"/>
              </w:rPr>
              <w:t>基于项目建设要求，综合考虑投标人所提供业务需求实现和项目实施的响应方案，包含以下内容：1.项目需求调研方案；2.项目规划设计方案；3.质量保障措施；4项目进度计划及保障；5.组织机构及人员职责分工（不含后续服务人员）前述5项每提供一项得3分，最多得15分，每有1处存在内容缺陷扣1分，前述5项关于内容缺陷最多扣15分（内容缺陷是指存在项目名称不符、地点区域错误、内容与本项目需求无关、前后内容不连贯、仅有框架或标题、适用的标准（方法）错误、明显复制其他项目内容等任意一种情形）。</w:t>
            </w:r>
          </w:p>
          <w:p w14:paraId="36A645EC">
            <w:pPr>
              <w:pStyle w:val="3"/>
              <w:keepNext w:val="0"/>
              <w:keepLines w:val="0"/>
              <w:spacing w:before="0" w:after="0" w:line="400" w:lineRule="exact"/>
              <w:ind w:firstLine="560" w:firstLineChars="200"/>
              <w:rPr>
                <w:rFonts w:ascii="宋体" w:hAnsi="宋体" w:eastAsia="宋体" w:cs="宋体"/>
                <w:b w:val="0"/>
                <w:bCs w:val="0"/>
                <w:color w:val="auto"/>
                <w:kern w:val="2"/>
                <w:sz w:val="28"/>
                <w:szCs w:val="28"/>
              </w:rPr>
            </w:pPr>
            <w:r>
              <w:rPr>
                <w:rFonts w:hint="eastAsia" w:ascii="宋体" w:hAnsi="宋体" w:eastAsia="宋体" w:cs="宋体"/>
                <w:b w:val="0"/>
                <w:bCs w:val="0"/>
                <w:color w:val="auto"/>
                <w:kern w:val="2"/>
                <w:sz w:val="28"/>
                <w:szCs w:val="28"/>
              </w:rPr>
              <w:t>注：内容有缺陷是指该项内容所阐述的项目信息与本项目实际信息不一致或该项内容引用的规定、规范错误或该项内容描述不符合国家相关法律法规、规范要求或该项内容阐述的方式方法明显不符合本项目实际情况或该项内容描述的内容与本项目实际情况不符或套用其他项目内容。</w:t>
            </w:r>
          </w:p>
        </w:tc>
        <w:tc>
          <w:tcPr>
            <w:tcW w:w="613" w:type="dxa"/>
            <w:tcBorders>
              <w:top w:val="single" w:color="000000" w:sz="4" w:space="0"/>
              <w:left w:val="nil"/>
              <w:bottom w:val="single" w:color="000000" w:sz="4" w:space="0"/>
              <w:right w:val="single" w:color="000000" w:sz="4" w:space="0"/>
            </w:tcBorders>
            <w:noWrap/>
            <w:vAlign w:val="center"/>
          </w:tcPr>
          <w:p w14:paraId="2F55DDB0">
            <w:pPr>
              <w:pStyle w:val="3"/>
              <w:keepNext w:val="0"/>
              <w:keepLines w:val="0"/>
              <w:spacing w:before="0" w:after="0" w:line="400" w:lineRule="exact"/>
              <w:rPr>
                <w:rFonts w:ascii="宋体" w:hAnsi="宋体" w:eastAsia="宋体" w:cs="宋体"/>
                <w:b w:val="0"/>
                <w:bCs w:val="0"/>
                <w:color w:val="auto"/>
                <w:sz w:val="32"/>
                <w:szCs w:val="32"/>
              </w:rPr>
            </w:pPr>
          </w:p>
        </w:tc>
      </w:tr>
      <w:tr w14:paraId="3D5B5D5E">
        <w:tblPrEx>
          <w:tblCellMar>
            <w:top w:w="0" w:type="dxa"/>
            <w:left w:w="108" w:type="dxa"/>
            <w:bottom w:w="0" w:type="dxa"/>
            <w:right w:w="108" w:type="dxa"/>
          </w:tblCellMar>
        </w:tblPrEx>
        <w:trPr>
          <w:trHeight w:val="1852" w:hRule="atLeast"/>
          <w:jc w:val="center"/>
        </w:trPr>
        <w:tc>
          <w:tcPr>
            <w:tcW w:w="507" w:type="dxa"/>
            <w:tcBorders>
              <w:top w:val="single" w:color="000000" w:sz="4" w:space="0"/>
              <w:left w:val="single" w:color="000000" w:sz="4" w:space="0"/>
              <w:bottom w:val="single" w:color="000000" w:sz="4" w:space="0"/>
              <w:right w:val="single" w:color="000000" w:sz="4" w:space="0"/>
            </w:tcBorders>
            <w:noWrap/>
            <w:vAlign w:val="center"/>
          </w:tcPr>
          <w:p w14:paraId="3D32B648">
            <w:pPr>
              <w:pStyle w:val="4"/>
              <w:jc w:val="center"/>
              <w:rPr>
                <w:rFonts w:ascii="宋体" w:hAnsi="宋体" w:cs="宋体"/>
                <w:color w:val="auto"/>
                <w:sz w:val="22"/>
                <w:szCs w:val="28"/>
              </w:rPr>
            </w:pPr>
            <w:r>
              <w:rPr>
                <w:rFonts w:hint="eastAsia" w:ascii="宋体" w:hAnsi="宋体" w:cs="宋体"/>
                <w:color w:val="auto"/>
                <w:sz w:val="22"/>
                <w:szCs w:val="28"/>
              </w:rPr>
              <w:t>3</w:t>
            </w:r>
          </w:p>
        </w:tc>
        <w:tc>
          <w:tcPr>
            <w:tcW w:w="960" w:type="dxa"/>
            <w:tcBorders>
              <w:top w:val="single" w:color="000000" w:sz="4" w:space="0"/>
              <w:left w:val="nil"/>
              <w:bottom w:val="single" w:color="000000" w:sz="4" w:space="0"/>
              <w:right w:val="single" w:color="000000" w:sz="4" w:space="0"/>
            </w:tcBorders>
            <w:noWrap/>
            <w:vAlign w:val="center"/>
          </w:tcPr>
          <w:p w14:paraId="75F73200">
            <w:pPr>
              <w:pStyle w:val="4"/>
              <w:jc w:val="center"/>
              <w:rPr>
                <w:rFonts w:ascii="宋体" w:hAnsi="宋体" w:cs="宋体"/>
                <w:color w:val="auto"/>
                <w:sz w:val="22"/>
                <w:szCs w:val="28"/>
              </w:rPr>
            </w:pPr>
            <w:r>
              <w:rPr>
                <w:rFonts w:hint="eastAsia" w:ascii="宋体" w:hAnsi="宋体" w:cs="宋体"/>
                <w:color w:val="auto"/>
                <w:sz w:val="22"/>
                <w:szCs w:val="28"/>
              </w:rPr>
              <w:t>售后服务方案</w:t>
            </w:r>
            <w:r>
              <w:rPr>
                <w:rFonts w:hint="eastAsia" w:ascii="宋体" w:hAnsi="宋体" w:cs="宋体"/>
                <w:color w:val="auto"/>
                <w:sz w:val="22"/>
                <w:szCs w:val="28"/>
                <w:lang w:val="en-US" w:eastAsia="zh-CN"/>
              </w:rPr>
              <w:t>15</w:t>
            </w:r>
            <w:r>
              <w:rPr>
                <w:rFonts w:hint="eastAsia" w:ascii="宋体" w:hAnsi="宋体" w:cs="宋体"/>
                <w:color w:val="auto"/>
                <w:sz w:val="22"/>
                <w:szCs w:val="28"/>
              </w:rPr>
              <w:t>%</w:t>
            </w:r>
          </w:p>
        </w:tc>
        <w:tc>
          <w:tcPr>
            <w:tcW w:w="695" w:type="dxa"/>
            <w:tcBorders>
              <w:top w:val="single" w:color="000000" w:sz="4" w:space="0"/>
              <w:left w:val="nil"/>
              <w:bottom w:val="single" w:color="000000" w:sz="4" w:space="0"/>
              <w:right w:val="single" w:color="000000" w:sz="4" w:space="0"/>
            </w:tcBorders>
            <w:noWrap/>
            <w:vAlign w:val="center"/>
          </w:tcPr>
          <w:p w14:paraId="65BA6FEC">
            <w:pPr>
              <w:pStyle w:val="4"/>
              <w:jc w:val="center"/>
              <w:rPr>
                <w:rFonts w:ascii="宋体" w:hAnsi="宋体" w:cs="宋体"/>
                <w:color w:val="auto"/>
                <w:kern w:val="2"/>
                <w:sz w:val="22"/>
                <w:szCs w:val="28"/>
              </w:rPr>
            </w:pPr>
            <w:r>
              <w:rPr>
                <w:rFonts w:hint="eastAsia" w:ascii="宋体" w:hAnsi="宋体" w:cs="宋体"/>
                <w:color w:val="auto"/>
                <w:kern w:val="2"/>
                <w:sz w:val="22"/>
                <w:szCs w:val="28"/>
                <w:lang w:val="en-US" w:eastAsia="zh-CN"/>
              </w:rPr>
              <w:t>15</w:t>
            </w:r>
            <w:r>
              <w:rPr>
                <w:rFonts w:hint="eastAsia" w:ascii="宋体" w:hAnsi="宋体" w:cs="宋体"/>
                <w:color w:val="auto"/>
                <w:kern w:val="2"/>
                <w:sz w:val="22"/>
                <w:szCs w:val="28"/>
              </w:rPr>
              <w:t>分</w:t>
            </w:r>
          </w:p>
        </w:tc>
        <w:tc>
          <w:tcPr>
            <w:tcW w:w="6225" w:type="dxa"/>
            <w:tcBorders>
              <w:top w:val="single" w:color="000000" w:sz="4" w:space="0"/>
              <w:left w:val="nil"/>
              <w:bottom w:val="single" w:color="000000" w:sz="4" w:space="0"/>
              <w:right w:val="single" w:color="000000" w:sz="4" w:space="0"/>
            </w:tcBorders>
            <w:noWrap/>
            <w:vAlign w:val="top"/>
          </w:tcPr>
          <w:p w14:paraId="37FC5C49">
            <w:pPr>
              <w:ind w:firstLine="560" w:firstLineChars="200"/>
              <w:rPr>
                <w:rFonts w:hint="eastAsia" w:ascii="宋体" w:hAnsi="宋体" w:eastAsia="宋体" w:cs="宋体"/>
                <w:b w:val="0"/>
                <w:bCs w:val="0"/>
                <w:color w:val="auto"/>
                <w:kern w:val="2"/>
                <w:sz w:val="28"/>
                <w:szCs w:val="28"/>
                <w:lang w:val="en-US" w:eastAsia="zh-CN" w:bidi="ar"/>
              </w:rPr>
            </w:pPr>
            <w:r>
              <w:rPr>
                <w:rFonts w:hint="eastAsia" w:ascii="宋体" w:hAnsi="宋体" w:eastAsia="宋体" w:cs="宋体"/>
                <w:b w:val="0"/>
                <w:bCs w:val="0"/>
                <w:color w:val="auto"/>
                <w:kern w:val="2"/>
                <w:sz w:val="28"/>
                <w:szCs w:val="28"/>
                <w:lang w:val="en-US" w:eastAsia="zh-CN" w:bidi="ar"/>
              </w:rPr>
              <w:t>根据投标人针对本项目采购需求编制的售后服务进行评审，包括但不限于以下内容：1.售后服务体系；2. 售后服务管理制度；3、培训计划、回访计划；4、技术支持、维护响应服务，5、用户需求动态响应方案；5项每提供一项得3分，最多得15分，每有1处存在内容缺陷扣1分，前述5项关于内容缺陷最多扣15分（内容缺陷是指存在项目名称不符、地点区域错误、内容与本项目需求无关、前后内容不连贯、仅有框架或标题、适用的标准（方法）错误、明显复制其他项目内容等任意一种情形）。</w:t>
            </w:r>
          </w:p>
          <w:p w14:paraId="12750ECE">
            <w:pPr>
              <w:ind w:firstLine="560" w:firstLineChars="200"/>
              <w:rPr>
                <w:rFonts w:ascii="宋体" w:hAnsi="宋体" w:cs="宋体"/>
                <w:color w:val="auto"/>
                <w:sz w:val="22"/>
                <w:szCs w:val="28"/>
              </w:rPr>
            </w:pPr>
            <w:r>
              <w:rPr>
                <w:rFonts w:hint="eastAsia" w:ascii="宋体" w:hAnsi="宋体" w:eastAsia="宋体" w:cs="宋体"/>
                <w:b w:val="0"/>
                <w:bCs w:val="0"/>
                <w:color w:val="auto"/>
                <w:kern w:val="2"/>
                <w:sz w:val="28"/>
                <w:szCs w:val="28"/>
                <w:lang w:val="en-US" w:eastAsia="zh-CN" w:bidi="ar"/>
              </w:rPr>
              <w:t>注：内容有缺陷是指该项内容所阐述的项目信息与本项目实际信息不一致或该项内容引用的规定、规范错误或该项内容描述不符合国家相关法律法规、规范要求或该项内容阐述的方式方法明显不符合本项目实际情况或该项内容描述的内容与本项目实际情况不符或套用其他项目内容。</w:t>
            </w:r>
          </w:p>
        </w:tc>
        <w:tc>
          <w:tcPr>
            <w:tcW w:w="613" w:type="dxa"/>
            <w:tcBorders>
              <w:top w:val="single" w:color="000000" w:sz="4" w:space="0"/>
              <w:left w:val="nil"/>
              <w:bottom w:val="single" w:color="000000" w:sz="4" w:space="0"/>
              <w:right w:val="single" w:color="000000" w:sz="4" w:space="0"/>
            </w:tcBorders>
            <w:noWrap/>
            <w:vAlign w:val="center"/>
          </w:tcPr>
          <w:p w14:paraId="5C84DE96">
            <w:pPr>
              <w:pStyle w:val="3"/>
              <w:keepNext w:val="0"/>
              <w:keepLines w:val="0"/>
              <w:spacing w:before="0" w:after="0" w:line="400" w:lineRule="exact"/>
              <w:rPr>
                <w:rFonts w:ascii="宋体" w:hAnsi="宋体" w:eastAsia="宋体" w:cs="宋体"/>
                <w:b w:val="0"/>
                <w:bCs w:val="0"/>
                <w:color w:val="auto"/>
                <w:sz w:val="32"/>
                <w:szCs w:val="32"/>
              </w:rPr>
            </w:pPr>
          </w:p>
        </w:tc>
      </w:tr>
      <w:tr w14:paraId="2999E855">
        <w:tblPrEx>
          <w:tblCellMar>
            <w:top w:w="0" w:type="dxa"/>
            <w:left w:w="108" w:type="dxa"/>
            <w:bottom w:w="0" w:type="dxa"/>
            <w:right w:w="108" w:type="dxa"/>
          </w:tblCellMar>
        </w:tblPrEx>
        <w:trPr>
          <w:trHeight w:val="156" w:hRule="atLeast"/>
          <w:jc w:val="center"/>
        </w:trPr>
        <w:tc>
          <w:tcPr>
            <w:tcW w:w="507" w:type="dxa"/>
            <w:tcBorders>
              <w:top w:val="single" w:color="000000" w:sz="4" w:space="0"/>
              <w:left w:val="single" w:color="000000" w:sz="4" w:space="0"/>
              <w:bottom w:val="single" w:color="000000" w:sz="4" w:space="0"/>
              <w:right w:val="single" w:color="000000" w:sz="4" w:space="0"/>
            </w:tcBorders>
            <w:noWrap/>
            <w:vAlign w:val="center"/>
          </w:tcPr>
          <w:p w14:paraId="20A3F5F9">
            <w:pPr>
              <w:pStyle w:val="4"/>
              <w:jc w:val="center"/>
              <w:rPr>
                <w:rFonts w:ascii="宋体" w:hAnsi="宋体" w:cs="宋体"/>
                <w:color w:val="auto"/>
                <w:sz w:val="22"/>
                <w:szCs w:val="28"/>
              </w:rPr>
            </w:pPr>
            <w:r>
              <w:rPr>
                <w:rFonts w:hint="eastAsia" w:ascii="宋体" w:hAnsi="宋体" w:cs="宋体"/>
                <w:color w:val="auto"/>
                <w:sz w:val="22"/>
                <w:szCs w:val="28"/>
              </w:rPr>
              <w:t>4</w:t>
            </w:r>
          </w:p>
        </w:tc>
        <w:tc>
          <w:tcPr>
            <w:tcW w:w="960" w:type="dxa"/>
            <w:tcBorders>
              <w:top w:val="single" w:color="000000" w:sz="4" w:space="0"/>
              <w:left w:val="nil"/>
              <w:bottom w:val="single" w:color="000000" w:sz="4" w:space="0"/>
              <w:right w:val="single" w:color="000000" w:sz="4" w:space="0"/>
            </w:tcBorders>
            <w:noWrap/>
            <w:vAlign w:val="center"/>
          </w:tcPr>
          <w:p w14:paraId="691B645D">
            <w:pPr>
              <w:pStyle w:val="4"/>
              <w:jc w:val="center"/>
              <w:rPr>
                <w:rFonts w:ascii="宋体" w:hAnsi="宋体" w:cs="宋体"/>
                <w:color w:val="auto"/>
                <w:sz w:val="22"/>
                <w:szCs w:val="28"/>
              </w:rPr>
            </w:pPr>
            <w:r>
              <w:rPr>
                <w:rFonts w:hint="eastAsia" w:ascii="宋体" w:hAnsi="宋体" w:cs="宋体"/>
                <w:color w:val="auto"/>
                <w:sz w:val="22"/>
                <w:szCs w:val="28"/>
              </w:rPr>
              <w:t>技术指标证明材料</w:t>
            </w:r>
            <w:r>
              <w:rPr>
                <w:rFonts w:ascii="宋体" w:hAnsi="宋体" w:cs="宋体"/>
                <w:color w:val="auto"/>
                <w:sz w:val="22"/>
                <w:szCs w:val="28"/>
              </w:rPr>
              <w:t>2</w:t>
            </w:r>
            <w:r>
              <w:rPr>
                <w:rFonts w:hint="eastAsia" w:ascii="宋体" w:hAnsi="宋体" w:cs="宋体"/>
                <w:color w:val="auto"/>
                <w:sz w:val="22"/>
                <w:szCs w:val="28"/>
                <w:lang w:val="en-US" w:eastAsia="zh-CN"/>
              </w:rPr>
              <w:t>8</w:t>
            </w:r>
            <w:r>
              <w:rPr>
                <w:rFonts w:hint="eastAsia" w:ascii="宋体" w:hAnsi="宋体" w:cs="宋体"/>
                <w:color w:val="auto"/>
                <w:sz w:val="22"/>
                <w:szCs w:val="28"/>
              </w:rPr>
              <w:t>%</w:t>
            </w:r>
          </w:p>
        </w:tc>
        <w:tc>
          <w:tcPr>
            <w:tcW w:w="695" w:type="dxa"/>
            <w:tcBorders>
              <w:top w:val="single" w:color="000000" w:sz="4" w:space="0"/>
              <w:left w:val="nil"/>
              <w:bottom w:val="single" w:color="000000" w:sz="4" w:space="0"/>
              <w:right w:val="single" w:color="000000" w:sz="4" w:space="0"/>
            </w:tcBorders>
            <w:noWrap/>
            <w:vAlign w:val="center"/>
          </w:tcPr>
          <w:p w14:paraId="5D477C3B">
            <w:pPr>
              <w:pStyle w:val="4"/>
              <w:jc w:val="center"/>
              <w:rPr>
                <w:rFonts w:ascii="宋体" w:hAnsi="宋体" w:cs="宋体"/>
                <w:color w:val="auto"/>
                <w:sz w:val="22"/>
                <w:szCs w:val="28"/>
              </w:rPr>
            </w:pPr>
            <w:r>
              <w:rPr>
                <w:rFonts w:ascii="宋体" w:hAnsi="宋体" w:cs="宋体"/>
                <w:color w:val="auto"/>
                <w:sz w:val="22"/>
                <w:szCs w:val="28"/>
              </w:rPr>
              <w:t>2</w:t>
            </w:r>
            <w:r>
              <w:rPr>
                <w:rFonts w:hint="eastAsia" w:ascii="宋体" w:hAnsi="宋体" w:cs="宋体"/>
                <w:color w:val="auto"/>
                <w:sz w:val="22"/>
                <w:szCs w:val="28"/>
                <w:lang w:val="en-US" w:eastAsia="zh-CN"/>
              </w:rPr>
              <w:t>8</w:t>
            </w:r>
            <w:r>
              <w:rPr>
                <w:rFonts w:hint="eastAsia" w:ascii="宋体" w:hAnsi="宋体" w:cs="宋体"/>
                <w:color w:val="auto"/>
                <w:sz w:val="22"/>
                <w:szCs w:val="28"/>
              </w:rPr>
              <w:t>分</w:t>
            </w:r>
          </w:p>
        </w:tc>
        <w:tc>
          <w:tcPr>
            <w:tcW w:w="6225" w:type="dxa"/>
            <w:tcBorders>
              <w:top w:val="single" w:color="000000" w:sz="4" w:space="0"/>
              <w:left w:val="nil"/>
              <w:bottom w:val="single" w:color="000000" w:sz="4" w:space="0"/>
              <w:right w:val="single" w:color="000000" w:sz="4" w:space="0"/>
            </w:tcBorders>
            <w:noWrap/>
            <w:vAlign w:val="top"/>
          </w:tcPr>
          <w:p w14:paraId="2556CC29">
            <w:pPr>
              <w:pStyle w:val="3"/>
              <w:keepNext w:val="0"/>
              <w:keepLines w:val="0"/>
              <w:spacing w:before="0" w:after="0" w:line="400" w:lineRule="exact"/>
              <w:ind w:firstLine="560" w:firstLineChars="200"/>
              <w:rPr>
                <w:rFonts w:ascii="宋体" w:hAnsi="宋体" w:eastAsia="宋体" w:cs="宋体"/>
                <w:b w:val="0"/>
                <w:bCs w:val="0"/>
                <w:color w:val="auto"/>
                <w:kern w:val="2"/>
                <w:sz w:val="28"/>
                <w:szCs w:val="28"/>
              </w:rPr>
            </w:pPr>
            <w:r>
              <w:rPr>
                <w:rFonts w:hint="eastAsia" w:ascii="宋体" w:hAnsi="宋体" w:eastAsia="宋体" w:cs="宋体"/>
                <w:b w:val="0"/>
                <w:bCs w:val="0"/>
                <w:color w:val="auto"/>
                <w:kern w:val="2"/>
                <w:sz w:val="28"/>
                <w:szCs w:val="28"/>
              </w:rPr>
              <w:t>招标文件第五章的关键设备技术参数要求表中标注▲项，“▲”号条款为重要指标，每有一项负偏离的扣</w:t>
            </w:r>
            <w:r>
              <w:rPr>
                <w:rFonts w:ascii="宋体" w:hAnsi="宋体" w:eastAsia="宋体" w:cs="宋体"/>
                <w:b w:val="0"/>
                <w:bCs w:val="0"/>
                <w:color w:val="auto"/>
                <w:kern w:val="2"/>
                <w:sz w:val="28"/>
                <w:szCs w:val="28"/>
              </w:rPr>
              <w:t>2</w:t>
            </w:r>
            <w:r>
              <w:rPr>
                <w:rFonts w:hint="eastAsia" w:ascii="宋体" w:hAnsi="宋体" w:eastAsia="宋体" w:cs="宋体"/>
                <w:b w:val="0"/>
                <w:bCs w:val="0"/>
                <w:color w:val="auto"/>
                <w:kern w:val="2"/>
                <w:sz w:val="28"/>
                <w:szCs w:val="28"/>
              </w:rPr>
              <w:t>分，普通参数（无标识），每有一条负偏离扣0.2分，扣完为止的扣完为止。“★”为实质技术要求。</w:t>
            </w:r>
          </w:p>
          <w:p w14:paraId="7896355B">
            <w:pPr>
              <w:pStyle w:val="3"/>
              <w:keepNext w:val="0"/>
              <w:keepLines w:val="0"/>
              <w:spacing w:before="0" w:after="0" w:line="400" w:lineRule="exact"/>
              <w:ind w:firstLine="560" w:firstLineChars="200"/>
              <w:rPr>
                <w:rFonts w:ascii="宋体" w:hAnsi="宋体" w:eastAsia="宋体" w:cs="宋体"/>
                <w:b w:val="0"/>
                <w:bCs w:val="0"/>
                <w:color w:val="auto"/>
                <w:kern w:val="2"/>
                <w:sz w:val="28"/>
                <w:szCs w:val="28"/>
              </w:rPr>
            </w:pPr>
            <w:r>
              <w:rPr>
                <w:rFonts w:hint="eastAsia" w:ascii="宋体" w:hAnsi="宋体" w:eastAsia="宋体" w:cs="宋体"/>
                <w:b w:val="0"/>
                <w:bCs w:val="0"/>
                <w:color w:val="auto"/>
                <w:kern w:val="2"/>
                <w:sz w:val="28"/>
                <w:szCs w:val="28"/>
              </w:rPr>
              <w:t>注：带▲需提供</w:t>
            </w:r>
            <w:r>
              <w:rPr>
                <w:rFonts w:hint="eastAsia" w:cs="宋体"/>
                <w:b w:val="0"/>
                <w:bCs w:val="0"/>
                <w:color w:val="auto"/>
                <w:kern w:val="2"/>
                <w:sz w:val="28"/>
                <w:szCs w:val="28"/>
                <w:lang w:val="en-US" w:eastAsia="zh-CN"/>
              </w:rPr>
              <w:t>类似</w:t>
            </w:r>
            <w:r>
              <w:rPr>
                <w:rFonts w:hint="eastAsia" w:ascii="宋体" w:hAnsi="宋体" w:eastAsia="宋体" w:cs="宋体"/>
                <w:b w:val="0"/>
                <w:bCs w:val="0"/>
                <w:color w:val="auto"/>
                <w:kern w:val="2"/>
                <w:sz w:val="28"/>
                <w:szCs w:val="28"/>
              </w:rPr>
              <w:t>相关功能截图，未按要求提供的视为负偏离，不允许虚假应答，虚假应答按相关处理办法执行处罚。</w:t>
            </w:r>
          </w:p>
        </w:tc>
        <w:tc>
          <w:tcPr>
            <w:tcW w:w="613" w:type="dxa"/>
            <w:tcBorders>
              <w:top w:val="single" w:color="000000" w:sz="4" w:space="0"/>
              <w:left w:val="nil"/>
              <w:bottom w:val="single" w:color="000000" w:sz="4" w:space="0"/>
              <w:right w:val="single" w:color="000000" w:sz="4" w:space="0"/>
            </w:tcBorders>
            <w:noWrap/>
            <w:vAlign w:val="center"/>
          </w:tcPr>
          <w:p w14:paraId="479D0BDC">
            <w:pPr>
              <w:pStyle w:val="3"/>
              <w:keepNext w:val="0"/>
              <w:keepLines w:val="0"/>
              <w:spacing w:before="0" w:after="0" w:line="400" w:lineRule="exact"/>
              <w:rPr>
                <w:rFonts w:ascii="宋体" w:hAnsi="宋体" w:eastAsia="宋体" w:cs="宋体"/>
                <w:b w:val="0"/>
                <w:bCs w:val="0"/>
                <w:color w:val="auto"/>
                <w:sz w:val="32"/>
                <w:szCs w:val="32"/>
              </w:rPr>
            </w:pPr>
          </w:p>
        </w:tc>
      </w:tr>
      <w:tr w14:paraId="3D132ACB">
        <w:tblPrEx>
          <w:tblCellMar>
            <w:top w:w="0" w:type="dxa"/>
            <w:left w:w="108" w:type="dxa"/>
            <w:bottom w:w="0" w:type="dxa"/>
            <w:right w:w="108" w:type="dxa"/>
          </w:tblCellMar>
        </w:tblPrEx>
        <w:trPr>
          <w:trHeight w:val="366" w:hRule="atLeast"/>
          <w:jc w:val="center"/>
        </w:trPr>
        <w:tc>
          <w:tcPr>
            <w:tcW w:w="507" w:type="dxa"/>
            <w:tcBorders>
              <w:top w:val="single" w:color="000000" w:sz="4" w:space="0"/>
              <w:left w:val="single" w:color="000000" w:sz="4" w:space="0"/>
              <w:bottom w:val="single" w:color="000000" w:sz="4" w:space="0"/>
              <w:right w:val="single" w:color="000000" w:sz="4" w:space="0"/>
            </w:tcBorders>
            <w:noWrap/>
            <w:vAlign w:val="center"/>
          </w:tcPr>
          <w:p w14:paraId="049EB6CC">
            <w:pPr>
              <w:pStyle w:val="4"/>
              <w:jc w:val="center"/>
              <w:rPr>
                <w:rFonts w:ascii="宋体" w:hAnsi="宋体" w:cs="宋体"/>
                <w:color w:val="auto"/>
                <w:kern w:val="2"/>
                <w:sz w:val="22"/>
                <w:szCs w:val="28"/>
              </w:rPr>
            </w:pPr>
            <w:r>
              <w:rPr>
                <w:rFonts w:hint="eastAsia" w:ascii="宋体" w:hAnsi="宋体" w:cs="宋体"/>
                <w:color w:val="auto"/>
                <w:kern w:val="2"/>
                <w:sz w:val="22"/>
                <w:szCs w:val="28"/>
              </w:rPr>
              <w:t>5</w:t>
            </w:r>
          </w:p>
        </w:tc>
        <w:tc>
          <w:tcPr>
            <w:tcW w:w="960" w:type="dxa"/>
            <w:tcBorders>
              <w:top w:val="single" w:color="000000" w:sz="4" w:space="0"/>
              <w:left w:val="nil"/>
              <w:bottom w:val="single" w:color="000000" w:sz="4" w:space="0"/>
              <w:right w:val="single" w:color="000000" w:sz="4" w:space="0"/>
            </w:tcBorders>
            <w:noWrap/>
            <w:vAlign w:val="center"/>
          </w:tcPr>
          <w:p w14:paraId="6B8E8DB1">
            <w:pPr>
              <w:pStyle w:val="4"/>
              <w:jc w:val="center"/>
              <w:rPr>
                <w:rFonts w:ascii="宋体" w:hAnsi="宋体" w:cs="宋体"/>
                <w:color w:val="auto"/>
                <w:kern w:val="2"/>
                <w:sz w:val="22"/>
                <w:szCs w:val="28"/>
              </w:rPr>
            </w:pPr>
            <w:r>
              <w:rPr>
                <w:rFonts w:hint="eastAsia" w:ascii="宋体" w:hAnsi="宋体" w:cs="宋体"/>
                <w:color w:val="auto"/>
                <w:kern w:val="2"/>
                <w:sz w:val="22"/>
                <w:szCs w:val="28"/>
              </w:rPr>
              <w:t>履约能力</w:t>
            </w:r>
            <w:r>
              <w:rPr>
                <w:rFonts w:hint="eastAsia" w:ascii="宋体" w:hAnsi="宋体" w:cs="宋体"/>
                <w:color w:val="auto"/>
                <w:kern w:val="2"/>
                <w:sz w:val="22"/>
                <w:szCs w:val="28"/>
                <w:lang w:val="en-US" w:eastAsia="zh-CN"/>
              </w:rPr>
              <w:t>8</w:t>
            </w:r>
            <w:r>
              <w:rPr>
                <w:rFonts w:hint="eastAsia" w:ascii="宋体" w:hAnsi="宋体" w:cs="宋体"/>
                <w:color w:val="auto"/>
                <w:kern w:val="2"/>
                <w:sz w:val="22"/>
                <w:szCs w:val="28"/>
              </w:rPr>
              <w:t>%</w:t>
            </w:r>
          </w:p>
        </w:tc>
        <w:tc>
          <w:tcPr>
            <w:tcW w:w="695" w:type="dxa"/>
            <w:tcBorders>
              <w:top w:val="single" w:color="000000" w:sz="4" w:space="0"/>
              <w:left w:val="nil"/>
              <w:bottom w:val="single" w:color="000000" w:sz="4" w:space="0"/>
              <w:right w:val="single" w:color="000000" w:sz="4" w:space="0"/>
            </w:tcBorders>
            <w:noWrap/>
            <w:vAlign w:val="center"/>
          </w:tcPr>
          <w:p w14:paraId="0EF51989">
            <w:pPr>
              <w:pStyle w:val="4"/>
              <w:jc w:val="center"/>
              <w:rPr>
                <w:rFonts w:ascii="宋体" w:hAnsi="宋体" w:cs="宋体"/>
                <w:color w:val="auto"/>
                <w:kern w:val="2"/>
                <w:sz w:val="22"/>
                <w:szCs w:val="28"/>
              </w:rPr>
            </w:pPr>
            <w:r>
              <w:rPr>
                <w:rFonts w:hint="eastAsia" w:ascii="宋体" w:hAnsi="宋体" w:cs="宋体"/>
                <w:color w:val="auto"/>
                <w:kern w:val="2"/>
                <w:sz w:val="22"/>
                <w:szCs w:val="28"/>
                <w:lang w:val="en-US" w:eastAsia="zh-CN"/>
              </w:rPr>
              <w:t>8</w:t>
            </w:r>
            <w:r>
              <w:rPr>
                <w:rFonts w:hint="eastAsia" w:ascii="宋体" w:hAnsi="宋体" w:cs="宋体"/>
                <w:color w:val="auto"/>
                <w:kern w:val="2"/>
                <w:sz w:val="22"/>
                <w:szCs w:val="28"/>
              </w:rPr>
              <w:t>分</w:t>
            </w:r>
          </w:p>
        </w:tc>
        <w:tc>
          <w:tcPr>
            <w:tcW w:w="6225" w:type="dxa"/>
            <w:tcBorders>
              <w:top w:val="single" w:color="000000" w:sz="4" w:space="0"/>
              <w:left w:val="nil"/>
              <w:bottom w:val="single" w:color="000000" w:sz="4" w:space="0"/>
              <w:right w:val="single" w:color="000000" w:sz="4" w:space="0"/>
            </w:tcBorders>
            <w:noWrap/>
            <w:vAlign w:val="center"/>
          </w:tcPr>
          <w:p w14:paraId="544C60B4">
            <w:pPr>
              <w:pStyle w:val="4"/>
              <w:ind w:firstLine="560" w:firstLineChars="200"/>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1、供应商拟派本项目的项目负责人一名:具有信息系统项目管理师证书(计算机技术与软件专业技术资格)、系统规划与管理师证书(计算机技术与软件专业技术资格),每具有一项证书的得2分，本项最多得4分。</w:t>
            </w:r>
          </w:p>
          <w:p w14:paraId="6FCCA1EC">
            <w:pPr>
              <w:pStyle w:val="4"/>
              <w:ind w:firstLine="560" w:firstLineChars="200"/>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2、供应商拟派本项目的技术负责人一名:具有信息系统项目管理师证书(计算机技术与软件专业技术资格)、信息安全保障人员认证证书,每具有一项证书的得2分，本项最多得4分。</w:t>
            </w:r>
          </w:p>
          <w:p w14:paraId="1023D356">
            <w:pPr>
              <w:pStyle w:val="4"/>
              <w:ind w:firstLine="560" w:firstLineChars="200"/>
              <w:rPr>
                <w:rFonts w:ascii="宋体" w:hAnsi="宋体" w:cs="宋体"/>
                <w:color w:val="auto"/>
                <w:kern w:val="2"/>
                <w:sz w:val="22"/>
                <w:szCs w:val="28"/>
              </w:rPr>
            </w:pPr>
            <w:r>
              <w:rPr>
                <w:rFonts w:hint="eastAsia" w:ascii="宋体" w:hAnsi="宋体" w:eastAsia="宋体" w:cs="宋体"/>
                <w:color w:val="auto"/>
                <w:kern w:val="2"/>
                <w:sz w:val="28"/>
                <w:szCs w:val="28"/>
                <w:lang w:val="en-US" w:eastAsia="zh-CN" w:bidi="ar-SA"/>
              </w:rPr>
              <w:t>注:以上人员需有效证书扫描件、身份证扫描件，不提供或不满足不得分同一人员不重复计分</w:t>
            </w:r>
          </w:p>
        </w:tc>
        <w:tc>
          <w:tcPr>
            <w:tcW w:w="613" w:type="dxa"/>
            <w:tcBorders>
              <w:top w:val="single" w:color="000000" w:sz="4" w:space="0"/>
              <w:left w:val="nil"/>
              <w:bottom w:val="single" w:color="000000" w:sz="4" w:space="0"/>
              <w:right w:val="single" w:color="000000" w:sz="4" w:space="0"/>
            </w:tcBorders>
            <w:noWrap/>
            <w:vAlign w:val="center"/>
          </w:tcPr>
          <w:p w14:paraId="7602D65A">
            <w:pPr>
              <w:pStyle w:val="3"/>
              <w:keepNext w:val="0"/>
              <w:keepLines w:val="0"/>
              <w:spacing w:before="0" w:after="0" w:line="400" w:lineRule="exact"/>
              <w:rPr>
                <w:rFonts w:ascii="宋体" w:hAnsi="宋体" w:eastAsia="宋体" w:cs="宋体"/>
                <w:b w:val="0"/>
                <w:bCs w:val="0"/>
                <w:color w:val="auto"/>
                <w:kern w:val="2"/>
                <w:sz w:val="28"/>
                <w:szCs w:val="28"/>
              </w:rPr>
            </w:pPr>
          </w:p>
        </w:tc>
      </w:tr>
      <w:tr w14:paraId="0525E2D0">
        <w:tblPrEx>
          <w:tblCellMar>
            <w:top w:w="0" w:type="dxa"/>
            <w:left w:w="108" w:type="dxa"/>
            <w:bottom w:w="0" w:type="dxa"/>
            <w:right w:w="108" w:type="dxa"/>
          </w:tblCellMar>
        </w:tblPrEx>
        <w:trPr>
          <w:trHeight w:val="1832" w:hRule="atLeast"/>
          <w:jc w:val="center"/>
        </w:trPr>
        <w:tc>
          <w:tcPr>
            <w:tcW w:w="507" w:type="dxa"/>
            <w:tcBorders>
              <w:top w:val="single" w:color="000000" w:sz="4" w:space="0"/>
              <w:left w:val="single" w:color="000000" w:sz="4" w:space="0"/>
              <w:bottom w:val="single" w:color="000000" w:sz="4" w:space="0"/>
              <w:right w:val="single" w:color="000000" w:sz="4" w:space="0"/>
            </w:tcBorders>
            <w:noWrap/>
            <w:vAlign w:val="center"/>
          </w:tcPr>
          <w:p w14:paraId="267CF86E">
            <w:pPr>
              <w:pStyle w:val="4"/>
              <w:jc w:val="center"/>
              <w:rPr>
                <w:rFonts w:hint="eastAsia" w:ascii="宋体" w:hAnsi="宋体" w:cs="宋体"/>
                <w:color w:val="auto"/>
                <w:kern w:val="2"/>
                <w:sz w:val="22"/>
                <w:szCs w:val="28"/>
              </w:rPr>
            </w:pPr>
            <w:r>
              <w:rPr>
                <w:rFonts w:hint="eastAsia" w:ascii="宋体" w:hAnsi="宋体" w:cs="宋体"/>
                <w:color w:val="auto"/>
                <w:kern w:val="2"/>
                <w:sz w:val="22"/>
                <w:szCs w:val="28"/>
              </w:rPr>
              <w:t>6</w:t>
            </w:r>
          </w:p>
        </w:tc>
        <w:tc>
          <w:tcPr>
            <w:tcW w:w="960" w:type="dxa"/>
            <w:tcBorders>
              <w:top w:val="single" w:color="000000" w:sz="4" w:space="0"/>
              <w:left w:val="nil"/>
              <w:bottom w:val="single" w:color="000000" w:sz="4" w:space="0"/>
              <w:right w:val="single" w:color="000000" w:sz="4" w:space="0"/>
            </w:tcBorders>
            <w:noWrap/>
            <w:vAlign w:val="center"/>
          </w:tcPr>
          <w:p w14:paraId="0A11B3C5">
            <w:pPr>
              <w:pStyle w:val="4"/>
              <w:jc w:val="center"/>
              <w:rPr>
                <w:rFonts w:hint="eastAsia" w:ascii="宋体" w:hAnsi="宋体" w:cs="宋体"/>
                <w:color w:val="auto"/>
                <w:kern w:val="2"/>
                <w:sz w:val="22"/>
                <w:szCs w:val="28"/>
              </w:rPr>
            </w:pPr>
            <w:r>
              <w:rPr>
                <w:rFonts w:hint="eastAsia" w:ascii="宋体" w:hAnsi="宋体" w:cs="宋体"/>
                <w:color w:val="auto"/>
                <w:kern w:val="2"/>
                <w:sz w:val="22"/>
                <w:szCs w:val="28"/>
              </w:rPr>
              <w:t>类似案例</w:t>
            </w:r>
            <w:r>
              <w:rPr>
                <w:rFonts w:hint="eastAsia" w:ascii="宋体" w:hAnsi="宋体" w:cs="宋体"/>
                <w:color w:val="auto"/>
                <w:kern w:val="2"/>
                <w:sz w:val="22"/>
                <w:szCs w:val="28"/>
                <w:lang w:val="en-US" w:eastAsia="zh-CN"/>
              </w:rPr>
              <w:t>4</w:t>
            </w:r>
            <w:r>
              <w:rPr>
                <w:rFonts w:ascii="宋体" w:hAnsi="宋体" w:cs="宋体"/>
                <w:color w:val="auto"/>
                <w:kern w:val="2"/>
                <w:sz w:val="22"/>
                <w:szCs w:val="28"/>
              </w:rPr>
              <w:t>%</w:t>
            </w:r>
          </w:p>
        </w:tc>
        <w:tc>
          <w:tcPr>
            <w:tcW w:w="695" w:type="dxa"/>
            <w:tcBorders>
              <w:top w:val="single" w:color="000000" w:sz="4" w:space="0"/>
              <w:left w:val="nil"/>
              <w:bottom w:val="single" w:color="000000" w:sz="4" w:space="0"/>
              <w:right w:val="single" w:color="000000" w:sz="4" w:space="0"/>
            </w:tcBorders>
            <w:noWrap/>
            <w:vAlign w:val="center"/>
          </w:tcPr>
          <w:p w14:paraId="2FCA28AD">
            <w:pPr>
              <w:pStyle w:val="4"/>
              <w:jc w:val="center"/>
              <w:rPr>
                <w:rFonts w:ascii="宋体" w:hAnsi="宋体" w:cs="宋体"/>
                <w:color w:val="auto"/>
                <w:kern w:val="2"/>
                <w:sz w:val="22"/>
                <w:szCs w:val="28"/>
              </w:rPr>
            </w:pPr>
            <w:r>
              <w:rPr>
                <w:rFonts w:hint="eastAsia" w:ascii="宋体" w:hAnsi="宋体" w:cs="宋体"/>
                <w:color w:val="auto"/>
                <w:kern w:val="2"/>
                <w:sz w:val="22"/>
                <w:szCs w:val="28"/>
                <w:lang w:val="en-US" w:eastAsia="zh-CN"/>
              </w:rPr>
              <w:t>4</w:t>
            </w:r>
            <w:r>
              <w:rPr>
                <w:rFonts w:hint="eastAsia" w:ascii="宋体" w:hAnsi="宋体" w:cs="宋体"/>
                <w:color w:val="auto"/>
                <w:kern w:val="2"/>
                <w:sz w:val="22"/>
                <w:szCs w:val="28"/>
              </w:rPr>
              <w:t>分</w:t>
            </w:r>
          </w:p>
        </w:tc>
        <w:tc>
          <w:tcPr>
            <w:tcW w:w="6225" w:type="dxa"/>
            <w:tcBorders>
              <w:top w:val="single" w:color="000000" w:sz="4" w:space="0"/>
              <w:left w:val="nil"/>
              <w:bottom w:val="single" w:color="000000" w:sz="4" w:space="0"/>
              <w:right w:val="single" w:color="000000" w:sz="4" w:space="0"/>
            </w:tcBorders>
            <w:noWrap/>
            <w:vAlign w:val="center"/>
          </w:tcPr>
          <w:p w14:paraId="48D509A1">
            <w:pPr>
              <w:pStyle w:val="14"/>
              <w:snapToGrid w:val="0"/>
              <w:rPr>
                <w:rFonts w:hint="default" w:ascii="宋体" w:hAnsi="宋体" w:eastAsia="宋体" w:cs="宋体"/>
                <w:color w:val="auto"/>
                <w:kern w:val="2"/>
                <w:sz w:val="28"/>
                <w:szCs w:val="28"/>
                <w:lang w:val="en-US" w:eastAsia="zh-CN" w:bidi="ar-SA"/>
              </w:rPr>
            </w:pPr>
            <w:bookmarkStart w:id="4" w:name="OLE_LINK18"/>
            <w:r>
              <w:rPr>
                <w:rFonts w:hint="eastAsia" w:ascii="宋体" w:hAnsi="宋体" w:eastAsia="宋体" w:cs="宋体"/>
                <w:color w:val="auto"/>
                <w:kern w:val="2"/>
                <w:sz w:val="28"/>
                <w:szCs w:val="28"/>
                <w:lang w:val="en-US" w:eastAsia="zh-CN" w:bidi="ar-SA"/>
              </w:rPr>
              <w:t>供应商2022年1月1日（含）至本项目递交响应文件截止之日具有类似项目业绩</w:t>
            </w:r>
            <w:bookmarkEnd w:id="4"/>
            <w:r>
              <w:rPr>
                <w:rFonts w:hint="eastAsia" w:ascii="宋体" w:hAnsi="宋体" w:eastAsia="宋体" w:cs="宋体"/>
                <w:color w:val="auto"/>
                <w:kern w:val="2"/>
                <w:sz w:val="28"/>
                <w:szCs w:val="28"/>
                <w:lang w:val="en-US" w:eastAsia="zh-CN" w:bidi="ar-SA"/>
              </w:rPr>
              <w:t>，每提供一个得2分，最多得3分。</w:t>
            </w:r>
          </w:p>
          <w:p w14:paraId="4532ACD5">
            <w:pPr>
              <w:pStyle w:val="4"/>
              <w:ind w:firstLine="242"/>
              <w:rPr>
                <w:rFonts w:hint="eastAsia" w:ascii="宋体" w:hAnsi="宋体" w:cs="宋体"/>
                <w:color w:val="auto"/>
                <w:kern w:val="2"/>
                <w:sz w:val="22"/>
                <w:szCs w:val="28"/>
              </w:rPr>
            </w:pPr>
            <w:r>
              <w:rPr>
                <w:rFonts w:hint="eastAsia" w:ascii="宋体" w:hAnsi="宋体" w:eastAsia="宋体" w:cs="宋体"/>
                <w:color w:val="auto"/>
                <w:kern w:val="2"/>
                <w:sz w:val="28"/>
                <w:szCs w:val="28"/>
                <w:lang w:val="en-US" w:eastAsia="zh-CN" w:bidi="ar-SA"/>
              </w:rPr>
              <w:t>注：提供中标（成交）通知书或合同复印件并加盖供应商公章。提供合同的以合同签订时间为准；提供中标（成交）通知书的以中标（成交）通知书落款时间为准；同时提供中标（成交）通知书和合同复印件的以合同签订时间为准；未提供该项不得分。</w:t>
            </w:r>
          </w:p>
        </w:tc>
        <w:tc>
          <w:tcPr>
            <w:tcW w:w="613" w:type="dxa"/>
            <w:tcBorders>
              <w:top w:val="single" w:color="000000" w:sz="4" w:space="0"/>
              <w:left w:val="nil"/>
              <w:bottom w:val="single" w:color="000000" w:sz="4" w:space="0"/>
              <w:right w:val="single" w:color="000000" w:sz="4" w:space="0"/>
            </w:tcBorders>
            <w:noWrap/>
            <w:vAlign w:val="center"/>
          </w:tcPr>
          <w:p w14:paraId="198FE96C">
            <w:pPr>
              <w:pStyle w:val="3"/>
              <w:keepNext w:val="0"/>
              <w:keepLines w:val="0"/>
              <w:spacing w:before="0" w:after="0" w:line="400" w:lineRule="exact"/>
              <w:rPr>
                <w:rFonts w:ascii="宋体" w:hAnsi="宋体" w:eastAsia="宋体" w:cs="宋体"/>
                <w:b w:val="0"/>
                <w:bCs w:val="0"/>
                <w:color w:val="auto"/>
                <w:kern w:val="2"/>
                <w:sz w:val="28"/>
                <w:szCs w:val="28"/>
              </w:rPr>
            </w:pPr>
          </w:p>
        </w:tc>
      </w:tr>
      <w:tr w14:paraId="7489302B">
        <w:tblPrEx>
          <w:tblCellMar>
            <w:top w:w="0" w:type="dxa"/>
            <w:left w:w="108" w:type="dxa"/>
            <w:bottom w:w="0" w:type="dxa"/>
            <w:right w:w="108" w:type="dxa"/>
          </w:tblCellMar>
        </w:tblPrEx>
        <w:trPr>
          <w:trHeight w:val="761" w:hRule="atLeast"/>
          <w:jc w:val="center"/>
        </w:trPr>
        <w:tc>
          <w:tcPr>
            <w:tcW w:w="9000" w:type="dxa"/>
            <w:gridSpan w:val="5"/>
            <w:tcBorders>
              <w:top w:val="single" w:color="auto" w:sz="4" w:space="0"/>
              <w:left w:val="single" w:color="000000" w:sz="4" w:space="0"/>
              <w:bottom w:val="single" w:color="000000" w:sz="4" w:space="0"/>
              <w:right w:val="single" w:color="000000" w:sz="4" w:space="0"/>
            </w:tcBorders>
            <w:noWrap/>
            <w:vAlign w:val="center"/>
          </w:tcPr>
          <w:p w14:paraId="4A79828A">
            <w:pPr>
              <w:pStyle w:val="3"/>
              <w:keepNext w:val="0"/>
              <w:keepLines w:val="0"/>
              <w:spacing w:before="0" w:after="0" w:line="400" w:lineRule="exact"/>
              <w:rPr>
                <w:color w:val="auto"/>
                <w:sz w:val="40"/>
                <w:szCs w:val="40"/>
              </w:rPr>
            </w:pPr>
            <w:r>
              <w:rPr>
                <w:rFonts w:hint="eastAsia" w:ascii="宋体" w:hAnsi="宋体" w:eastAsia="宋体" w:cs="宋体"/>
                <w:b w:val="0"/>
                <w:bCs w:val="0"/>
                <w:color w:val="auto"/>
                <w:kern w:val="2"/>
                <w:sz w:val="28"/>
                <w:szCs w:val="28"/>
                <w:lang w:val="en-US" w:eastAsia="zh-CN" w:bidi="ar-SA"/>
              </w:rPr>
              <w:t>注：本表中要求提供的复印件材料，均需加盖投标人单位公章，否则将不认可该项复印件材料的有效性；评分的取值按四舍五入法，保留小数点后两位。</w:t>
            </w:r>
          </w:p>
        </w:tc>
      </w:tr>
    </w:tbl>
    <w:p w14:paraId="09F62D4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b/>
          <w:bCs/>
          <w:color w:val="auto"/>
          <w:sz w:val="32"/>
          <w:szCs w:val="32"/>
          <w:lang w:val="en-US" w:eastAsia="zh-CN"/>
        </w:rPr>
      </w:pPr>
    </w:p>
    <w:p w14:paraId="03C4DD26">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方正小标宋简体" w:hAnsi="方正小标宋简体" w:eastAsia="方正小标宋简体" w:cs="方正小标宋简体"/>
          <w:b w:val="0"/>
          <w:bCs w:val="0"/>
          <w:color w:val="auto"/>
          <w:sz w:val="44"/>
          <w:szCs w:val="44"/>
          <w:lang w:val="en-US" w:eastAsia="zh-CN"/>
        </w:rPr>
      </w:pPr>
      <w:r>
        <w:rPr>
          <w:rFonts w:hint="eastAsia" w:ascii="方正小标宋简体" w:hAnsi="方正小标宋简体" w:eastAsia="方正小标宋简体" w:cs="方正小标宋简体"/>
          <w:b w:val="0"/>
          <w:bCs w:val="0"/>
          <w:color w:val="auto"/>
          <w:sz w:val="44"/>
          <w:szCs w:val="44"/>
          <w:lang w:val="en-US" w:eastAsia="zh-CN"/>
        </w:rPr>
        <w:br w:type="page"/>
      </w:r>
      <w:r>
        <w:rPr>
          <w:rFonts w:hint="eastAsia" w:ascii="方正小标宋简体" w:hAnsi="方正小标宋简体" w:eastAsia="方正小标宋简体" w:cs="方正小标宋简体"/>
          <w:b w:val="0"/>
          <w:bCs w:val="0"/>
          <w:color w:val="auto"/>
          <w:sz w:val="44"/>
          <w:szCs w:val="44"/>
          <w:lang w:val="en-US" w:eastAsia="zh-CN"/>
        </w:rPr>
        <w:t>附件2：报价文件格式</w:t>
      </w:r>
    </w:p>
    <w:p w14:paraId="55008F20">
      <w:pPr>
        <w:keepNext w:val="0"/>
        <w:keepLines w:val="0"/>
        <w:pageBreakBefore w:val="0"/>
        <w:widowControl w:val="0"/>
        <w:kinsoku/>
        <w:wordWrap/>
        <w:overflowPunct/>
        <w:topLinePunct w:val="0"/>
        <w:autoSpaceDE/>
        <w:autoSpaceDN/>
        <w:bidi w:val="0"/>
        <w:adjustRightInd/>
        <w:snapToGrid/>
        <w:spacing w:line="560" w:lineRule="exact"/>
        <w:ind w:firstLine="880" w:firstLineChars="200"/>
        <w:jc w:val="both"/>
        <w:textAlignment w:val="auto"/>
        <w:rPr>
          <w:rFonts w:hint="eastAsia" w:ascii="方正小标宋简体" w:hAnsi="方正小标宋简体" w:eastAsia="方正小标宋简体" w:cs="方正小标宋简体"/>
          <w:b w:val="0"/>
          <w:bCs w:val="0"/>
          <w:color w:val="auto"/>
          <w:sz w:val="44"/>
          <w:szCs w:val="44"/>
          <w:lang w:val="en-US" w:eastAsia="zh-CN"/>
        </w:rPr>
      </w:pPr>
    </w:p>
    <w:p w14:paraId="76F88BA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bCs/>
          <w:color w:val="auto"/>
          <w:sz w:val="44"/>
          <w:szCs w:val="44"/>
          <w:lang w:val="en-US" w:eastAsia="zh-CN"/>
        </w:rPr>
      </w:pPr>
      <w:r>
        <w:rPr>
          <w:rFonts w:hint="eastAsia" w:ascii="方正小标宋简体" w:hAnsi="方正小标宋简体" w:eastAsia="方正小标宋简体" w:cs="方正小标宋简体"/>
          <w:b/>
          <w:bCs/>
          <w:color w:val="auto"/>
          <w:sz w:val="44"/>
          <w:szCs w:val="44"/>
          <w:lang w:val="en-US" w:eastAsia="zh-CN"/>
        </w:rPr>
        <w:t>一、响应函</w:t>
      </w:r>
    </w:p>
    <w:p w14:paraId="5B2EA212">
      <w:pPr>
        <w:pStyle w:val="13"/>
        <w:keepNext w:val="0"/>
        <w:keepLines w:val="0"/>
        <w:pageBreakBefore w:val="0"/>
        <w:widowControl/>
        <w:kinsoku/>
        <w:wordWrap/>
        <w:overflowPunct/>
        <w:topLinePunct w:val="0"/>
        <w:autoSpaceDE/>
        <w:autoSpaceDN/>
        <w:bidi w:val="0"/>
        <w:adjustRightInd/>
        <w:snapToGrid/>
        <w:spacing w:before="0" w:after="0" w:line="560" w:lineRule="exact"/>
        <w:jc w:val="both"/>
        <w:textAlignment w:val="auto"/>
        <w:rPr>
          <w:rFonts w:hint="default" w:ascii="Times New Roman" w:hAnsi="Times New Roman" w:eastAsia="仿宋_GB2312" w:cs="Times New Roman"/>
          <w:b/>
          <w:bCs/>
          <w:color w:val="auto"/>
          <w:kern w:val="2"/>
          <w:sz w:val="32"/>
          <w:szCs w:val="32"/>
          <w:lang w:val="en-US" w:eastAsia="zh-CN" w:bidi="ar-SA"/>
        </w:rPr>
      </w:pPr>
    </w:p>
    <w:p w14:paraId="3FF5E2D1">
      <w:pPr>
        <w:pStyle w:val="13"/>
        <w:keepNext w:val="0"/>
        <w:keepLines w:val="0"/>
        <w:pageBreakBefore w:val="0"/>
        <w:widowControl/>
        <w:kinsoku/>
        <w:wordWrap/>
        <w:overflowPunct/>
        <w:topLinePunct w:val="0"/>
        <w:autoSpaceDE/>
        <w:autoSpaceDN/>
        <w:bidi w:val="0"/>
        <w:adjustRightInd/>
        <w:snapToGrid/>
        <w:spacing w:before="0" w:after="0" w:line="560" w:lineRule="exact"/>
        <w:jc w:val="both"/>
        <w:textAlignment w:val="auto"/>
        <w:rPr>
          <w:rFonts w:hint="default" w:ascii="Times New Roman" w:hAnsi="Times New Roman" w:eastAsia="仿宋_GB2312" w:cs="Times New Roman"/>
          <w:b/>
          <w:bCs/>
          <w:color w:val="auto"/>
          <w:kern w:val="2"/>
          <w:sz w:val="32"/>
          <w:szCs w:val="32"/>
          <w:lang w:val="en-US" w:eastAsia="zh-CN" w:bidi="ar-SA"/>
        </w:rPr>
      </w:pPr>
      <w:r>
        <w:rPr>
          <w:rFonts w:hint="default" w:ascii="Times New Roman" w:hAnsi="Times New Roman" w:eastAsia="仿宋_GB2312" w:cs="Times New Roman"/>
          <w:b/>
          <w:bCs/>
          <w:color w:val="auto"/>
          <w:kern w:val="2"/>
          <w:sz w:val="32"/>
          <w:szCs w:val="32"/>
          <w:lang w:val="en-US" w:eastAsia="zh-CN" w:bidi="ar-SA"/>
        </w:rPr>
        <w:t>致：</w:t>
      </w:r>
      <w:r>
        <w:rPr>
          <w:rFonts w:hint="eastAsia" w:ascii="Times New Roman" w:hAnsi="Times New Roman" w:eastAsia="仿宋_GB2312" w:cs="Times New Roman"/>
          <w:b/>
          <w:bCs/>
          <w:color w:val="auto"/>
          <w:kern w:val="2"/>
          <w:sz w:val="32"/>
          <w:szCs w:val="32"/>
          <w:lang w:val="en-US" w:eastAsia="zh-CN" w:bidi="ar-SA"/>
        </w:rPr>
        <w:t>四川省南充市保安服务有限公司</w:t>
      </w:r>
    </w:p>
    <w:p w14:paraId="4063CBF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b/>
          <w:bCs/>
          <w:color w:val="auto"/>
          <w:kern w:val="2"/>
          <w:sz w:val="32"/>
          <w:szCs w:val="32"/>
          <w:lang w:val="en-US" w:eastAsia="zh-CN" w:bidi="ar-SA"/>
        </w:rPr>
      </w:pPr>
      <w:r>
        <w:rPr>
          <w:rFonts w:hint="default" w:ascii="Times New Roman" w:hAnsi="Times New Roman" w:eastAsia="仿宋_GB2312" w:cs="Times New Roman"/>
          <w:b/>
          <w:bCs/>
          <w:color w:val="auto"/>
          <w:kern w:val="2"/>
          <w:sz w:val="32"/>
          <w:szCs w:val="32"/>
          <w:lang w:val="en-US" w:eastAsia="zh-CN" w:bidi="ar-SA"/>
        </w:rPr>
        <w:t>我方已认真研读</w:t>
      </w:r>
      <w:r>
        <w:rPr>
          <w:rFonts w:hint="eastAsia" w:ascii="Times New Roman" w:hAnsi="Times New Roman" w:eastAsia="仿宋_GB2312" w:cs="Times New Roman"/>
          <w:b/>
          <w:bCs/>
          <w:color w:val="auto"/>
          <w:kern w:val="2"/>
          <w:sz w:val="32"/>
          <w:szCs w:val="32"/>
          <w:u w:val="single"/>
          <w:lang w:val="en-US" w:eastAsia="zh-CN" w:bidi="ar-SA"/>
        </w:rPr>
        <w:t>保安公司</w:t>
      </w:r>
      <w:r>
        <w:rPr>
          <w:rFonts w:hint="eastAsia" w:ascii="Times New Roman" w:hAnsi="Times New Roman" w:eastAsia="仿宋" w:cs="Times New Roman"/>
          <w:b/>
          <w:bCs/>
          <w:color w:val="auto"/>
          <w:sz w:val="32"/>
          <w:szCs w:val="32"/>
          <w:u w:val="single"/>
          <w:lang w:val="en-US" w:eastAsia="zh-CN"/>
        </w:rPr>
        <w:t>项目协同综合管理系统采购项目</w:t>
      </w:r>
      <w:r>
        <w:rPr>
          <w:rFonts w:hint="eastAsia" w:ascii="Times New Roman" w:hAnsi="Times New Roman" w:eastAsia="仿宋_GB2312" w:cs="Times New Roman"/>
          <w:b/>
          <w:bCs/>
          <w:color w:val="auto"/>
          <w:kern w:val="2"/>
          <w:sz w:val="32"/>
          <w:szCs w:val="32"/>
          <w:lang w:val="en-US" w:eastAsia="zh-CN" w:bidi="ar-SA"/>
        </w:rPr>
        <w:t>比选</w:t>
      </w:r>
      <w:r>
        <w:rPr>
          <w:rFonts w:hint="default" w:ascii="Times New Roman" w:hAnsi="Times New Roman" w:eastAsia="仿宋_GB2312" w:cs="Times New Roman"/>
          <w:b/>
          <w:bCs/>
          <w:color w:val="auto"/>
          <w:kern w:val="2"/>
          <w:sz w:val="32"/>
          <w:szCs w:val="32"/>
          <w:lang w:val="en-US" w:eastAsia="zh-CN" w:bidi="ar-SA"/>
        </w:rPr>
        <w:t>文件，充分知晓本项目采购内容、规格要求、评审规则、报价要求及相关纪律规定。我方自愿参与本次项目响应，所投产品规格均完全满足采购人现场使用需求，报价真实、合规、有效。</w:t>
      </w:r>
    </w:p>
    <w:p w14:paraId="739D0AF3">
      <w:pPr>
        <w:pStyle w:val="13"/>
        <w:keepNext w:val="0"/>
        <w:keepLines w:val="0"/>
        <w:pageBreakBefore w:val="0"/>
        <w:widowControl/>
        <w:kinsoku/>
        <w:wordWrap/>
        <w:overflowPunct/>
        <w:topLinePunct w:val="0"/>
        <w:autoSpaceDE/>
        <w:autoSpaceDN/>
        <w:bidi w:val="0"/>
        <w:adjustRightInd/>
        <w:snapToGrid/>
        <w:spacing w:before="0" w:after="0" w:line="520" w:lineRule="exact"/>
        <w:ind w:firstLine="643" w:firstLineChars="200"/>
        <w:jc w:val="both"/>
        <w:textAlignment w:val="auto"/>
        <w:rPr>
          <w:rFonts w:hint="default" w:ascii="Times New Roman" w:hAnsi="Times New Roman" w:eastAsia="仿宋_GB2312" w:cs="Times New Roman"/>
          <w:b/>
          <w:bCs/>
          <w:color w:val="auto"/>
          <w:kern w:val="2"/>
          <w:sz w:val="32"/>
          <w:szCs w:val="32"/>
          <w:lang w:val="en-US" w:eastAsia="zh-CN" w:bidi="ar-SA"/>
        </w:rPr>
      </w:pPr>
      <w:r>
        <w:rPr>
          <w:rFonts w:hint="default" w:ascii="Times New Roman" w:hAnsi="Times New Roman" w:eastAsia="仿宋_GB2312" w:cs="Times New Roman"/>
          <w:b/>
          <w:bCs/>
          <w:color w:val="auto"/>
          <w:kern w:val="2"/>
          <w:sz w:val="32"/>
          <w:szCs w:val="32"/>
          <w:lang w:val="en-US" w:eastAsia="zh-CN" w:bidi="ar-SA"/>
        </w:rPr>
        <w:t>我方承诺：</w:t>
      </w:r>
    </w:p>
    <w:p w14:paraId="668A2186">
      <w:pPr>
        <w:pStyle w:val="13"/>
        <w:keepNext w:val="0"/>
        <w:keepLines w:val="0"/>
        <w:pageBreakBefore w:val="0"/>
        <w:widowControl/>
        <w:numPr>
          <w:ilvl w:val="0"/>
          <w:numId w:val="0"/>
        </w:numPr>
        <w:kinsoku/>
        <w:wordWrap/>
        <w:overflowPunct/>
        <w:topLinePunct w:val="0"/>
        <w:autoSpaceDE/>
        <w:autoSpaceDN/>
        <w:bidi w:val="0"/>
        <w:adjustRightInd/>
        <w:snapToGrid/>
        <w:spacing w:before="0" w:after="0" w:line="520" w:lineRule="exact"/>
        <w:ind w:leftChars="0" w:firstLine="643" w:firstLineChars="200"/>
        <w:jc w:val="both"/>
        <w:textAlignment w:val="auto"/>
        <w:rPr>
          <w:rFonts w:hint="default" w:ascii="Times New Roman" w:hAnsi="Times New Roman" w:eastAsia="仿宋_GB2312" w:cs="Times New Roman"/>
          <w:b/>
          <w:bCs/>
          <w:color w:val="auto"/>
          <w:kern w:val="2"/>
          <w:sz w:val="32"/>
          <w:szCs w:val="32"/>
          <w:lang w:val="en-US" w:eastAsia="zh-CN" w:bidi="ar-SA"/>
        </w:rPr>
      </w:pPr>
      <w:r>
        <w:rPr>
          <w:rFonts w:hint="default" w:ascii="Times New Roman" w:hAnsi="Times New Roman" w:eastAsia="仿宋_GB2312" w:cs="Times New Roman"/>
          <w:b/>
          <w:bCs/>
          <w:color w:val="auto"/>
          <w:kern w:val="2"/>
          <w:sz w:val="32"/>
          <w:szCs w:val="32"/>
          <w:lang w:val="en-US" w:eastAsia="zh-CN" w:bidi="ar-SA"/>
        </w:rPr>
        <w:t>1.完全响应采购文件所有条款，无偏离、无隐瞒、无虚假响应；</w:t>
      </w:r>
    </w:p>
    <w:p w14:paraId="2FF0151F">
      <w:pPr>
        <w:pStyle w:val="13"/>
        <w:keepNext w:val="0"/>
        <w:keepLines w:val="0"/>
        <w:pageBreakBefore w:val="0"/>
        <w:widowControl/>
        <w:numPr>
          <w:ilvl w:val="0"/>
          <w:numId w:val="0"/>
        </w:numPr>
        <w:kinsoku/>
        <w:wordWrap/>
        <w:overflowPunct/>
        <w:topLinePunct w:val="0"/>
        <w:autoSpaceDE/>
        <w:autoSpaceDN/>
        <w:bidi w:val="0"/>
        <w:adjustRightInd/>
        <w:snapToGrid/>
        <w:spacing w:before="0" w:after="0" w:line="520" w:lineRule="exact"/>
        <w:ind w:leftChars="0" w:firstLine="643" w:firstLineChars="200"/>
        <w:jc w:val="both"/>
        <w:textAlignment w:val="auto"/>
        <w:rPr>
          <w:rFonts w:hint="default" w:ascii="Times New Roman" w:hAnsi="Times New Roman" w:eastAsia="仿宋_GB2312" w:cs="Times New Roman"/>
          <w:b/>
          <w:bCs/>
          <w:color w:val="auto"/>
          <w:kern w:val="2"/>
          <w:sz w:val="32"/>
          <w:szCs w:val="32"/>
          <w:lang w:val="en-US" w:eastAsia="zh-CN" w:bidi="ar-SA"/>
        </w:rPr>
      </w:pPr>
      <w:r>
        <w:rPr>
          <w:rFonts w:hint="default" w:ascii="Times New Roman" w:hAnsi="Times New Roman" w:eastAsia="仿宋_GB2312" w:cs="Times New Roman"/>
          <w:b/>
          <w:bCs/>
          <w:color w:val="auto"/>
          <w:kern w:val="2"/>
          <w:sz w:val="32"/>
          <w:szCs w:val="32"/>
          <w:lang w:val="en-US" w:eastAsia="zh-CN" w:bidi="ar-SA"/>
        </w:rPr>
        <w:t>2.所报价格包含</w:t>
      </w:r>
      <w:r>
        <w:rPr>
          <w:rFonts w:hint="eastAsia" w:ascii="Times New Roman" w:hAnsi="Times New Roman" w:eastAsia="仿宋_GB2312" w:cs="Times New Roman"/>
          <w:b/>
          <w:bCs/>
          <w:color w:val="auto"/>
          <w:kern w:val="2"/>
          <w:sz w:val="32"/>
          <w:szCs w:val="32"/>
          <w:lang w:val="en-US" w:eastAsia="zh-CN" w:bidi="ar-SA"/>
        </w:rPr>
        <w:t>产品</w:t>
      </w:r>
      <w:r>
        <w:rPr>
          <w:rFonts w:hint="default" w:ascii="Times New Roman" w:hAnsi="Times New Roman" w:eastAsia="仿宋_GB2312" w:cs="Times New Roman"/>
          <w:b/>
          <w:bCs/>
          <w:color w:val="auto"/>
          <w:kern w:val="2"/>
          <w:sz w:val="32"/>
          <w:szCs w:val="32"/>
          <w:lang w:val="en-US" w:eastAsia="zh-CN" w:bidi="ar-SA"/>
        </w:rPr>
        <w:t>费、包装费、运输费、税费、配送费等一切费用，为最终落地含税价；</w:t>
      </w:r>
    </w:p>
    <w:p w14:paraId="778DD436">
      <w:pPr>
        <w:pStyle w:val="13"/>
        <w:keepNext w:val="0"/>
        <w:keepLines w:val="0"/>
        <w:pageBreakBefore w:val="0"/>
        <w:widowControl/>
        <w:numPr>
          <w:ilvl w:val="0"/>
          <w:numId w:val="0"/>
        </w:numPr>
        <w:kinsoku/>
        <w:wordWrap/>
        <w:overflowPunct/>
        <w:topLinePunct w:val="0"/>
        <w:autoSpaceDE/>
        <w:autoSpaceDN/>
        <w:bidi w:val="0"/>
        <w:adjustRightInd/>
        <w:snapToGrid/>
        <w:spacing w:before="0" w:after="0" w:line="520" w:lineRule="exact"/>
        <w:ind w:leftChars="0" w:firstLine="643" w:firstLineChars="200"/>
        <w:jc w:val="both"/>
        <w:textAlignment w:val="auto"/>
        <w:rPr>
          <w:rFonts w:hint="default" w:ascii="Times New Roman" w:hAnsi="Times New Roman" w:eastAsia="仿宋_GB2312" w:cs="Times New Roman"/>
          <w:b/>
          <w:bCs/>
          <w:color w:val="auto"/>
          <w:kern w:val="2"/>
          <w:sz w:val="32"/>
          <w:szCs w:val="32"/>
          <w:lang w:val="en-US" w:eastAsia="zh-CN" w:bidi="ar-SA"/>
        </w:rPr>
      </w:pPr>
      <w:r>
        <w:rPr>
          <w:rFonts w:hint="default" w:ascii="Times New Roman" w:hAnsi="Times New Roman" w:eastAsia="仿宋_GB2312" w:cs="Times New Roman"/>
          <w:b/>
          <w:bCs/>
          <w:color w:val="auto"/>
          <w:kern w:val="2"/>
          <w:sz w:val="32"/>
          <w:szCs w:val="32"/>
          <w:lang w:val="en-US" w:eastAsia="zh-CN" w:bidi="ar-SA"/>
        </w:rPr>
        <w:t>3.保证所有产品为全新合格正品、符合质量标准、有效期充足、来源合规；</w:t>
      </w:r>
    </w:p>
    <w:p w14:paraId="3247379A">
      <w:pPr>
        <w:pStyle w:val="13"/>
        <w:keepNext w:val="0"/>
        <w:keepLines w:val="0"/>
        <w:pageBreakBefore w:val="0"/>
        <w:widowControl/>
        <w:numPr>
          <w:ilvl w:val="0"/>
          <w:numId w:val="0"/>
        </w:numPr>
        <w:kinsoku/>
        <w:wordWrap/>
        <w:overflowPunct/>
        <w:topLinePunct w:val="0"/>
        <w:autoSpaceDE/>
        <w:autoSpaceDN/>
        <w:bidi w:val="0"/>
        <w:adjustRightInd/>
        <w:snapToGrid/>
        <w:spacing w:before="0" w:after="0" w:line="520" w:lineRule="exact"/>
        <w:ind w:leftChars="0" w:firstLine="643" w:firstLineChars="200"/>
        <w:jc w:val="both"/>
        <w:textAlignment w:val="auto"/>
        <w:rPr>
          <w:rFonts w:hint="default" w:ascii="Times New Roman" w:hAnsi="Times New Roman" w:eastAsia="仿宋_GB2312" w:cs="Times New Roman"/>
          <w:b/>
          <w:bCs/>
          <w:color w:val="auto"/>
          <w:kern w:val="2"/>
          <w:sz w:val="32"/>
          <w:szCs w:val="32"/>
          <w:lang w:val="en-US" w:eastAsia="zh-CN" w:bidi="ar-SA"/>
        </w:rPr>
      </w:pPr>
      <w:r>
        <w:rPr>
          <w:rFonts w:hint="default" w:ascii="Times New Roman" w:hAnsi="Times New Roman" w:eastAsia="仿宋_GB2312" w:cs="Times New Roman"/>
          <w:b/>
          <w:bCs/>
          <w:color w:val="auto"/>
          <w:kern w:val="2"/>
          <w:sz w:val="32"/>
          <w:szCs w:val="32"/>
          <w:lang w:val="en-US" w:eastAsia="zh-CN" w:bidi="ar-SA"/>
        </w:rPr>
        <w:t>4.自愿接受采购人评审、抽检、验收及全过程监督；</w:t>
      </w:r>
    </w:p>
    <w:p w14:paraId="716ED7EC">
      <w:pPr>
        <w:pStyle w:val="13"/>
        <w:keepNext w:val="0"/>
        <w:keepLines w:val="0"/>
        <w:pageBreakBefore w:val="0"/>
        <w:widowControl/>
        <w:numPr>
          <w:ilvl w:val="0"/>
          <w:numId w:val="0"/>
        </w:numPr>
        <w:kinsoku/>
        <w:wordWrap/>
        <w:overflowPunct/>
        <w:topLinePunct w:val="0"/>
        <w:autoSpaceDE/>
        <w:autoSpaceDN/>
        <w:bidi w:val="0"/>
        <w:adjustRightInd/>
        <w:snapToGrid/>
        <w:spacing w:before="0" w:after="0" w:line="520" w:lineRule="exact"/>
        <w:ind w:leftChars="0" w:firstLine="643" w:firstLineChars="200"/>
        <w:jc w:val="both"/>
        <w:textAlignment w:val="auto"/>
        <w:rPr>
          <w:rFonts w:hint="default" w:ascii="Times New Roman" w:hAnsi="Times New Roman" w:eastAsia="仿宋_GB2312" w:cs="Times New Roman"/>
          <w:b/>
          <w:bCs/>
          <w:color w:val="auto"/>
          <w:kern w:val="2"/>
          <w:sz w:val="32"/>
          <w:szCs w:val="32"/>
          <w:lang w:val="en-US" w:eastAsia="zh-CN" w:bidi="ar-SA"/>
        </w:rPr>
      </w:pPr>
      <w:r>
        <w:rPr>
          <w:rFonts w:hint="default" w:ascii="Times New Roman" w:hAnsi="Times New Roman" w:eastAsia="仿宋_GB2312" w:cs="Times New Roman"/>
          <w:b/>
          <w:bCs/>
          <w:color w:val="auto"/>
          <w:kern w:val="2"/>
          <w:sz w:val="32"/>
          <w:szCs w:val="32"/>
          <w:lang w:val="en-US" w:eastAsia="zh-CN" w:bidi="ar-SA"/>
        </w:rPr>
        <w:t>5.若我方成交，将严格按照要求按期保质完成供货及售后保障。</w:t>
      </w:r>
    </w:p>
    <w:p w14:paraId="647B391C">
      <w:pPr>
        <w:pStyle w:val="4"/>
        <w:keepNext w:val="0"/>
        <w:keepLines w:val="0"/>
        <w:pageBreakBefore w:val="0"/>
        <w:kinsoku/>
        <w:wordWrap/>
        <w:overflowPunct/>
        <w:topLinePunct w:val="0"/>
        <w:autoSpaceDE/>
        <w:autoSpaceDN/>
        <w:bidi w:val="0"/>
        <w:adjustRightInd/>
        <w:snapToGrid/>
        <w:spacing w:after="0" w:line="520" w:lineRule="exact"/>
        <w:ind w:firstLine="643" w:firstLineChars="200"/>
        <w:contextualSpacing/>
        <w:jc w:val="both"/>
        <w:textAlignment w:val="auto"/>
        <w:rPr>
          <w:rFonts w:hint="eastAsia" w:ascii="Times New Roman" w:hAnsi="Times New Roman" w:eastAsia="仿宋_GB2312" w:cs="Times New Roman"/>
          <w:b/>
          <w:bCs/>
          <w:color w:val="auto"/>
          <w:kern w:val="2"/>
          <w:sz w:val="32"/>
          <w:szCs w:val="32"/>
          <w:lang w:val="en-US" w:eastAsia="zh-CN" w:bidi="ar-SA"/>
        </w:rPr>
      </w:pPr>
      <w:r>
        <w:rPr>
          <w:rFonts w:hint="eastAsia" w:ascii="Times New Roman" w:hAnsi="Times New Roman" w:eastAsia="仿宋_GB2312" w:cs="Times New Roman"/>
          <w:b/>
          <w:bCs/>
          <w:color w:val="auto"/>
          <w:kern w:val="2"/>
          <w:sz w:val="32"/>
          <w:szCs w:val="32"/>
          <w:lang w:val="en-US" w:eastAsia="zh-CN" w:bidi="ar-SA"/>
        </w:rPr>
        <w:t>6.报价有效期为30天，不因市场价格波动调整。</w:t>
      </w:r>
    </w:p>
    <w:p w14:paraId="32F228EA">
      <w:pPr>
        <w:pStyle w:val="13"/>
        <w:keepNext w:val="0"/>
        <w:keepLines w:val="0"/>
        <w:pageBreakBefore w:val="0"/>
        <w:widowControl/>
        <w:numPr>
          <w:ilvl w:val="0"/>
          <w:numId w:val="0"/>
        </w:numPr>
        <w:kinsoku/>
        <w:wordWrap/>
        <w:overflowPunct/>
        <w:topLinePunct w:val="0"/>
        <w:autoSpaceDE/>
        <w:autoSpaceDN/>
        <w:bidi w:val="0"/>
        <w:adjustRightInd/>
        <w:snapToGrid/>
        <w:spacing w:before="0" w:after="0" w:line="400" w:lineRule="exact"/>
        <w:ind w:leftChars="0" w:firstLine="643" w:firstLineChars="200"/>
        <w:jc w:val="both"/>
        <w:textAlignment w:val="auto"/>
        <w:rPr>
          <w:rFonts w:hint="default" w:ascii="Times New Roman" w:hAnsi="Times New Roman" w:eastAsia="仿宋_GB2312" w:cs="Times New Roman"/>
          <w:b/>
          <w:bCs/>
          <w:color w:val="auto"/>
          <w:kern w:val="2"/>
          <w:sz w:val="32"/>
          <w:szCs w:val="32"/>
          <w:lang w:val="en-US" w:eastAsia="zh-CN" w:bidi="ar-SA"/>
        </w:rPr>
      </w:pPr>
    </w:p>
    <w:p w14:paraId="4716C7B1">
      <w:pPr>
        <w:pStyle w:val="13"/>
        <w:keepNext w:val="0"/>
        <w:keepLines w:val="0"/>
        <w:pageBreakBefore w:val="0"/>
        <w:widowControl/>
        <w:kinsoku/>
        <w:wordWrap/>
        <w:overflowPunct/>
        <w:topLinePunct w:val="0"/>
        <w:autoSpaceDE/>
        <w:autoSpaceDN/>
        <w:bidi w:val="0"/>
        <w:adjustRightInd/>
        <w:snapToGrid/>
        <w:spacing w:before="0" w:after="0" w:line="520" w:lineRule="exact"/>
        <w:ind w:firstLine="643" w:firstLineChars="200"/>
        <w:jc w:val="both"/>
        <w:textAlignment w:val="auto"/>
        <w:rPr>
          <w:rFonts w:hint="default" w:ascii="Times New Roman" w:hAnsi="Times New Roman" w:eastAsia="仿宋_GB2312" w:cs="Times New Roman"/>
          <w:b/>
          <w:bCs/>
          <w:color w:val="auto"/>
          <w:kern w:val="2"/>
          <w:sz w:val="32"/>
          <w:szCs w:val="32"/>
          <w:lang w:val="en-US" w:eastAsia="zh-CN" w:bidi="ar-SA"/>
        </w:rPr>
      </w:pPr>
      <w:r>
        <w:rPr>
          <w:rFonts w:hint="default" w:ascii="Times New Roman" w:hAnsi="Times New Roman" w:eastAsia="仿宋_GB2312" w:cs="Times New Roman"/>
          <w:b/>
          <w:bCs/>
          <w:color w:val="auto"/>
          <w:kern w:val="2"/>
          <w:sz w:val="32"/>
          <w:szCs w:val="32"/>
          <w:lang w:val="en-US" w:eastAsia="zh-CN" w:bidi="ar-SA"/>
        </w:rPr>
        <w:t>特此响应。</w:t>
      </w:r>
    </w:p>
    <w:p w14:paraId="31FCAA91">
      <w:pPr>
        <w:pStyle w:val="13"/>
        <w:keepNext w:val="0"/>
        <w:keepLines w:val="0"/>
        <w:pageBreakBefore w:val="0"/>
        <w:widowControl/>
        <w:kinsoku/>
        <w:wordWrap/>
        <w:overflowPunct/>
        <w:topLinePunct w:val="0"/>
        <w:autoSpaceDE/>
        <w:autoSpaceDN/>
        <w:bidi w:val="0"/>
        <w:adjustRightInd/>
        <w:snapToGrid/>
        <w:spacing w:before="0" w:after="0" w:line="360" w:lineRule="exact"/>
        <w:jc w:val="both"/>
        <w:textAlignment w:val="auto"/>
        <w:rPr>
          <w:rFonts w:hint="default" w:ascii="Times New Roman" w:hAnsi="Times New Roman" w:eastAsia="仿宋_GB2312" w:cs="Times New Roman"/>
          <w:b/>
          <w:bCs/>
          <w:color w:val="auto"/>
          <w:kern w:val="2"/>
          <w:sz w:val="32"/>
          <w:szCs w:val="32"/>
          <w:lang w:val="en-US" w:eastAsia="zh-CN" w:bidi="ar-SA"/>
        </w:rPr>
      </w:pPr>
    </w:p>
    <w:p w14:paraId="3328D889">
      <w:pPr>
        <w:pStyle w:val="13"/>
        <w:keepNext w:val="0"/>
        <w:keepLines w:val="0"/>
        <w:pageBreakBefore w:val="0"/>
        <w:widowControl/>
        <w:kinsoku/>
        <w:wordWrap/>
        <w:overflowPunct/>
        <w:topLinePunct w:val="0"/>
        <w:autoSpaceDE/>
        <w:autoSpaceDN/>
        <w:bidi w:val="0"/>
        <w:adjustRightInd/>
        <w:snapToGrid/>
        <w:spacing w:before="0" w:after="0" w:line="520" w:lineRule="exact"/>
        <w:ind w:firstLine="643" w:firstLineChars="200"/>
        <w:jc w:val="both"/>
        <w:textAlignment w:val="auto"/>
        <w:rPr>
          <w:rFonts w:hint="default" w:ascii="Times New Roman" w:hAnsi="Times New Roman" w:eastAsia="仿宋_GB2312" w:cs="Times New Roman"/>
          <w:b/>
          <w:bCs/>
          <w:color w:val="auto"/>
          <w:kern w:val="2"/>
          <w:sz w:val="32"/>
          <w:szCs w:val="32"/>
          <w:lang w:val="en-US" w:eastAsia="zh-CN" w:bidi="ar-SA"/>
        </w:rPr>
      </w:pPr>
      <w:r>
        <w:rPr>
          <w:rFonts w:hint="default" w:ascii="Times New Roman" w:hAnsi="Times New Roman" w:eastAsia="仿宋_GB2312" w:cs="Times New Roman"/>
          <w:b/>
          <w:bCs/>
          <w:color w:val="auto"/>
          <w:kern w:val="2"/>
          <w:sz w:val="32"/>
          <w:szCs w:val="32"/>
          <w:lang w:val="en-US" w:eastAsia="zh-CN" w:bidi="ar-SA"/>
        </w:rPr>
        <w:t>响应单位（盖章）：_______________</w:t>
      </w:r>
    </w:p>
    <w:p w14:paraId="76120E09">
      <w:pPr>
        <w:pStyle w:val="13"/>
        <w:keepNext w:val="0"/>
        <w:keepLines w:val="0"/>
        <w:pageBreakBefore w:val="0"/>
        <w:widowControl/>
        <w:kinsoku/>
        <w:wordWrap/>
        <w:overflowPunct/>
        <w:topLinePunct w:val="0"/>
        <w:autoSpaceDE/>
        <w:autoSpaceDN/>
        <w:bidi w:val="0"/>
        <w:adjustRightInd/>
        <w:snapToGrid/>
        <w:spacing w:before="0" w:after="0" w:line="520" w:lineRule="exact"/>
        <w:ind w:firstLine="643" w:firstLineChars="200"/>
        <w:jc w:val="both"/>
        <w:textAlignment w:val="auto"/>
        <w:rPr>
          <w:rFonts w:hint="default" w:ascii="Times New Roman" w:hAnsi="Times New Roman" w:eastAsia="仿宋_GB2312" w:cs="Times New Roman"/>
          <w:b/>
          <w:bCs/>
          <w:color w:val="auto"/>
          <w:kern w:val="2"/>
          <w:sz w:val="32"/>
          <w:szCs w:val="32"/>
          <w:lang w:val="en-US" w:eastAsia="zh-CN" w:bidi="ar-SA"/>
        </w:rPr>
      </w:pPr>
      <w:r>
        <w:rPr>
          <w:rFonts w:hint="default" w:ascii="Times New Roman" w:hAnsi="Times New Roman" w:eastAsia="仿宋_GB2312" w:cs="Times New Roman"/>
          <w:b/>
          <w:bCs/>
          <w:color w:val="auto"/>
          <w:kern w:val="2"/>
          <w:sz w:val="32"/>
          <w:szCs w:val="32"/>
          <w:lang w:val="en-US" w:eastAsia="zh-CN" w:bidi="ar-SA"/>
        </w:rPr>
        <w:t>法定代表人/授权代表人（签字）：__________</w:t>
      </w:r>
    </w:p>
    <w:p w14:paraId="32AE26AB">
      <w:pPr>
        <w:pStyle w:val="13"/>
        <w:keepNext w:val="0"/>
        <w:keepLines w:val="0"/>
        <w:pageBreakBefore w:val="0"/>
        <w:widowControl/>
        <w:kinsoku/>
        <w:wordWrap/>
        <w:overflowPunct/>
        <w:topLinePunct w:val="0"/>
        <w:autoSpaceDE/>
        <w:autoSpaceDN/>
        <w:bidi w:val="0"/>
        <w:adjustRightInd/>
        <w:snapToGrid/>
        <w:spacing w:before="0" w:after="0" w:line="520" w:lineRule="exact"/>
        <w:ind w:firstLine="643" w:firstLineChars="200"/>
        <w:jc w:val="both"/>
        <w:textAlignment w:val="auto"/>
        <w:rPr>
          <w:rFonts w:hint="default" w:ascii="Times New Roman" w:hAnsi="Times New Roman" w:eastAsia="仿宋_GB2312" w:cs="Times New Roman"/>
          <w:b/>
          <w:bCs/>
          <w:color w:val="auto"/>
          <w:kern w:val="2"/>
          <w:sz w:val="32"/>
          <w:szCs w:val="32"/>
          <w:lang w:val="en-US" w:eastAsia="zh-CN" w:bidi="ar-SA"/>
        </w:rPr>
      </w:pPr>
      <w:r>
        <w:rPr>
          <w:rFonts w:hint="default" w:ascii="Times New Roman" w:hAnsi="Times New Roman" w:eastAsia="仿宋_GB2312" w:cs="Times New Roman"/>
          <w:b/>
          <w:bCs/>
          <w:color w:val="auto"/>
          <w:kern w:val="2"/>
          <w:sz w:val="32"/>
          <w:szCs w:val="32"/>
          <w:lang w:val="en-US" w:eastAsia="zh-CN" w:bidi="ar-SA"/>
        </w:rPr>
        <w:t>日期：2026年____月____日</w:t>
      </w:r>
    </w:p>
    <w:p w14:paraId="4FB4913F">
      <w:pPr>
        <w:pStyle w:val="2"/>
        <w:jc w:val="center"/>
        <w:rPr>
          <w:rFonts w:hint="eastAsia" w:ascii="方正小标宋简体" w:hAnsi="方正小标宋简体" w:eastAsia="方正小标宋简体" w:cs="方正小标宋简体"/>
          <w:b w:val="0"/>
          <w:bCs w:val="0"/>
          <w:color w:val="auto"/>
          <w:sz w:val="44"/>
          <w:szCs w:val="44"/>
        </w:rPr>
        <w:sectPr>
          <w:pgSz w:w="11906" w:h="16838"/>
          <w:pgMar w:top="1134" w:right="1134" w:bottom="1134" w:left="1134" w:header="851" w:footer="992" w:gutter="0"/>
          <w:pgNumType w:fmt="decimal"/>
          <w:cols w:space="720" w:num="1"/>
          <w:rtlGutter w:val="0"/>
          <w:docGrid w:type="lines" w:linePitch="321" w:charSpace="0"/>
        </w:sectPr>
      </w:pPr>
    </w:p>
    <w:p w14:paraId="0C5B69D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小标宋简体" w:hAnsi="方正小标宋简体" w:eastAsia="方正小标宋简体" w:cs="方正小标宋简体"/>
          <w:b/>
          <w:bCs/>
          <w:color w:val="auto"/>
          <w:sz w:val="44"/>
          <w:szCs w:val="44"/>
          <w:lang w:val="en-US" w:eastAsia="zh-CN"/>
        </w:rPr>
      </w:pPr>
      <w:r>
        <w:rPr>
          <w:rFonts w:hint="eastAsia" w:ascii="方正小标宋简体" w:hAnsi="方正小标宋简体" w:eastAsia="方正小标宋简体" w:cs="方正小标宋简体"/>
          <w:b/>
          <w:bCs/>
          <w:color w:val="auto"/>
          <w:sz w:val="44"/>
          <w:szCs w:val="44"/>
          <w:lang w:val="en-US" w:eastAsia="zh-CN"/>
        </w:rPr>
        <w:t>二、</w:t>
      </w:r>
      <w:r>
        <w:rPr>
          <w:rFonts w:hint="default" w:ascii="方正小标宋简体" w:hAnsi="方正小标宋简体" w:eastAsia="方正小标宋简体" w:cs="方正小标宋简体"/>
          <w:b/>
          <w:bCs/>
          <w:color w:val="auto"/>
          <w:sz w:val="44"/>
          <w:szCs w:val="44"/>
          <w:lang w:val="en-US" w:eastAsia="zh-CN"/>
        </w:rPr>
        <w:t>法定代表人企业负责人身份证明</w:t>
      </w:r>
    </w:p>
    <w:p w14:paraId="0A06C9E7">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10"/>
        <w:jc w:val="both"/>
        <w:rPr>
          <w:rFonts w:hint="default" w:ascii="Times New Roman" w:hAnsi="Times New Roman" w:eastAsia="仿宋" w:cs="Times New Roman"/>
          <w:b/>
          <w:bCs/>
          <w:color w:val="auto"/>
          <w:kern w:val="2"/>
          <w:sz w:val="32"/>
          <w:szCs w:val="32"/>
          <w:lang w:val="en-US" w:eastAsia="zh-CN" w:bidi="ar-SA"/>
        </w:rPr>
      </w:pPr>
    </w:p>
    <w:p w14:paraId="2A6D6B2F">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firstLine="510"/>
        <w:jc w:val="both"/>
        <w:rPr>
          <w:rFonts w:hint="default" w:ascii="Times New Roman" w:hAnsi="Times New Roman" w:eastAsia="仿宋" w:cs="Times New Roman"/>
          <w:b/>
          <w:bCs/>
          <w:color w:val="auto"/>
          <w:kern w:val="2"/>
          <w:sz w:val="32"/>
          <w:szCs w:val="32"/>
          <w:lang w:val="en-US" w:eastAsia="zh-CN" w:bidi="ar-SA"/>
        </w:rPr>
      </w:pPr>
      <w:r>
        <w:rPr>
          <w:rFonts w:hint="default" w:ascii="Times New Roman" w:hAnsi="Times New Roman" w:eastAsia="仿宋" w:cs="Times New Roman"/>
          <w:b/>
          <w:bCs/>
          <w:color w:val="auto"/>
          <w:kern w:val="2"/>
          <w:sz w:val="32"/>
          <w:szCs w:val="32"/>
          <w:lang w:val="en-US" w:eastAsia="zh-CN" w:bidi="ar-SA"/>
        </w:rPr>
        <w:t>报价单位名称：</w:t>
      </w:r>
      <w:r>
        <w:rPr>
          <w:rFonts w:hint="default" w:ascii="Times New Roman" w:hAnsi="Times New Roman" w:eastAsia="仿宋" w:cs="Times New Roman"/>
          <w:b/>
          <w:bCs/>
          <w:color w:val="auto"/>
          <w:kern w:val="2"/>
          <w:sz w:val="32"/>
          <w:szCs w:val="32"/>
          <w:u w:val="single"/>
          <w:lang w:val="en-US" w:eastAsia="zh-CN" w:bidi="ar-SA"/>
        </w:rPr>
        <w:t>                            </w:t>
      </w:r>
    </w:p>
    <w:p w14:paraId="6863B3C5">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firstLine="510"/>
        <w:jc w:val="both"/>
        <w:rPr>
          <w:rFonts w:hint="default" w:ascii="Times New Roman" w:hAnsi="Times New Roman" w:eastAsia="仿宋" w:cs="Times New Roman"/>
          <w:b/>
          <w:bCs/>
          <w:color w:val="auto"/>
          <w:kern w:val="2"/>
          <w:sz w:val="32"/>
          <w:szCs w:val="32"/>
          <w:u w:val="single"/>
          <w:lang w:val="en-US" w:eastAsia="zh-CN" w:bidi="ar-SA"/>
        </w:rPr>
      </w:pPr>
      <w:r>
        <w:rPr>
          <w:rFonts w:hint="default" w:ascii="Times New Roman" w:hAnsi="Times New Roman" w:eastAsia="仿宋" w:cs="Times New Roman"/>
          <w:b/>
          <w:bCs/>
          <w:color w:val="auto"/>
          <w:kern w:val="2"/>
          <w:sz w:val="32"/>
          <w:szCs w:val="32"/>
          <w:lang w:val="en-US" w:eastAsia="zh-CN" w:bidi="ar-SA"/>
        </w:rPr>
        <w:t>单位性质：</w:t>
      </w:r>
      <w:r>
        <w:rPr>
          <w:rFonts w:hint="default" w:ascii="Times New Roman" w:hAnsi="Times New Roman" w:eastAsia="仿宋" w:cs="Times New Roman"/>
          <w:b/>
          <w:bCs/>
          <w:color w:val="auto"/>
          <w:kern w:val="2"/>
          <w:sz w:val="32"/>
          <w:szCs w:val="32"/>
          <w:u w:val="single"/>
          <w:lang w:val="en-US" w:eastAsia="zh-CN" w:bidi="ar-SA"/>
        </w:rPr>
        <w:t>                               </w:t>
      </w:r>
    </w:p>
    <w:p w14:paraId="0B756EE3">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firstLine="510"/>
        <w:jc w:val="both"/>
        <w:rPr>
          <w:rFonts w:hint="default" w:ascii="Times New Roman" w:hAnsi="Times New Roman" w:eastAsia="仿宋" w:cs="Times New Roman"/>
          <w:b/>
          <w:bCs/>
          <w:color w:val="auto"/>
          <w:kern w:val="2"/>
          <w:sz w:val="32"/>
          <w:szCs w:val="32"/>
          <w:u w:val="single"/>
          <w:lang w:val="en-US" w:eastAsia="zh-CN" w:bidi="ar-SA"/>
        </w:rPr>
      </w:pPr>
      <w:r>
        <w:rPr>
          <w:rFonts w:hint="default" w:ascii="Times New Roman" w:hAnsi="Times New Roman" w:eastAsia="仿宋" w:cs="Times New Roman"/>
          <w:b/>
          <w:bCs/>
          <w:color w:val="auto"/>
          <w:kern w:val="2"/>
          <w:sz w:val="32"/>
          <w:szCs w:val="32"/>
          <w:lang w:val="en-US" w:eastAsia="zh-CN" w:bidi="ar-SA"/>
        </w:rPr>
        <w:t>地址：</w:t>
      </w:r>
      <w:r>
        <w:rPr>
          <w:rFonts w:hint="default" w:ascii="Times New Roman" w:hAnsi="Times New Roman" w:eastAsia="仿宋" w:cs="Times New Roman"/>
          <w:b/>
          <w:bCs/>
          <w:color w:val="auto"/>
          <w:kern w:val="2"/>
          <w:sz w:val="32"/>
          <w:szCs w:val="32"/>
          <w:u w:val="single"/>
          <w:lang w:val="en-US" w:eastAsia="zh-CN" w:bidi="ar-SA"/>
        </w:rPr>
        <w:t>                                   </w:t>
      </w:r>
    </w:p>
    <w:p w14:paraId="64C8BD42">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firstLine="510"/>
        <w:jc w:val="both"/>
        <w:rPr>
          <w:rFonts w:hint="default" w:ascii="Times New Roman" w:hAnsi="Times New Roman" w:eastAsia="仿宋" w:cs="Times New Roman"/>
          <w:b/>
          <w:bCs/>
          <w:color w:val="auto"/>
          <w:kern w:val="2"/>
          <w:sz w:val="32"/>
          <w:szCs w:val="32"/>
          <w:lang w:val="en-US" w:eastAsia="zh-CN" w:bidi="ar-SA"/>
        </w:rPr>
      </w:pPr>
      <w:r>
        <w:rPr>
          <w:rFonts w:hint="default" w:ascii="Times New Roman" w:hAnsi="Times New Roman" w:eastAsia="仿宋" w:cs="Times New Roman"/>
          <w:b/>
          <w:bCs/>
          <w:color w:val="auto"/>
          <w:kern w:val="2"/>
          <w:sz w:val="32"/>
          <w:szCs w:val="32"/>
          <w:lang w:val="en-US" w:eastAsia="zh-CN" w:bidi="ar-SA"/>
        </w:rPr>
        <w:t>成立时间：</w:t>
      </w:r>
      <w:r>
        <w:rPr>
          <w:rFonts w:hint="default" w:ascii="Times New Roman" w:hAnsi="Times New Roman" w:eastAsia="仿宋" w:cs="Times New Roman"/>
          <w:b/>
          <w:bCs/>
          <w:color w:val="auto"/>
          <w:kern w:val="2"/>
          <w:sz w:val="32"/>
          <w:szCs w:val="32"/>
          <w:u w:val="single"/>
          <w:lang w:val="en-US" w:eastAsia="zh-CN" w:bidi="ar-SA"/>
        </w:rPr>
        <w:t>          </w:t>
      </w:r>
      <w:r>
        <w:rPr>
          <w:rFonts w:hint="default" w:ascii="Times New Roman" w:hAnsi="Times New Roman" w:eastAsia="仿宋" w:cs="Times New Roman"/>
          <w:b/>
          <w:bCs/>
          <w:color w:val="auto"/>
          <w:kern w:val="2"/>
          <w:sz w:val="32"/>
          <w:szCs w:val="32"/>
          <w:lang w:val="en-US" w:eastAsia="zh-CN" w:bidi="ar-SA"/>
        </w:rPr>
        <w:t>年</w:t>
      </w:r>
      <w:r>
        <w:rPr>
          <w:rFonts w:hint="default" w:ascii="Times New Roman" w:hAnsi="Times New Roman" w:eastAsia="仿宋" w:cs="Times New Roman"/>
          <w:b/>
          <w:bCs/>
          <w:color w:val="auto"/>
          <w:kern w:val="2"/>
          <w:sz w:val="32"/>
          <w:szCs w:val="32"/>
          <w:u w:val="single"/>
          <w:lang w:val="en-US" w:eastAsia="zh-CN" w:bidi="ar-SA"/>
        </w:rPr>
        <w:t>        </w:t>
      </w:r>
      <w:r>
        <w:rPr>
          <w:rFonts w:hint="default" w:ascii="Times New Roman" w:hAnsi="Times New Roman" w:eastAsia="仿宋" w:cs="Times New Roman"/>
          <w:b/>
          <w:bCs/>
          <w:color w:val="auto"/>
          <w:kern w:val="2"/>
          <w:sz w:val="32"/>
          <w:szCs w:val="32"/>
          <w:lang w:val="en-US" w:eastAsia="zh-CN" w:bidi="ar-SA"/>
        </w:rPr>
        <w:t>月</w:t>
      </w:r>
      <w:r>
        <w:rPr>
          <w:rFonts w:hint="default" w:ascii="Times New Roman" w:hAnsi="Times New Roman" w:eastAsia="仿宋" w:cs="Times New Roman"/>
          <w:b/>
          <w:bCs/>
          <w:color w:val="auto"/>
          <w:kern w:val="2"/>
          <w:sz w:val="32"/>
          <w:szCs w:val="32"/>
          <w:u w:val="single"/>
          <w:lang w:val="en-US" w:eastAsia="zh-CN" w:bidi="ar-SA"/>
        </w:rPr>
        <w:t>        </w:t>
      </w:r>
      <w:r>
        <w:rPr>
          <w:rFonts w:hint="default" w:ascii="Times New Roman" w:hAnsi="Times New Roman" w:eastAsia="仿宋" w:cs="Times New Roman"/>
          <w:b/>
          <w:bCs/>
          <w:color w:val="auto"/>
          <w:kern w:val="2"/>
          <w:sz w:val="32"/>
          <w:szCs w:val="32"/>
          <w:lang w:val="en-US" w:eastAsia="zh-CN" w:bidi="ar-SA"/>
        </w:rPr>
        <w:t>日</w:t>
      </w:r>
    </w:p>
    <w:p w14:paraId="3D945FCD">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firstLine="510"/>
        <w:jc w:val="both"/>
        <w:rPr>
          <w:rFonts w:hint="default" w:ascii="Times New Roman" w:hAnsi="Times New Roman" w:eastAsia="仿宋" w:cs="Times New Roman"/>
          <w:b/>
          <w:bCs/>
          <w:color w:val="auto"/>
          <w:kern w:val="2"/>
          <w:sz w:val="32"/>
          <w:szCs w:val="32"/>
          <w:lang w:val="en-US" w:eastAsia="zh-CN" w:bidi="ar-SA"/>
        </w:rPr>
      </w:pPr>
      <w:r>
        <w:rPr>
          <w:rFonts w:hint="default" w:ascii="Times New Roman" w:hAnsi="Times New Roman" w:eastAsia="仿宋" w:cs="Times New Roman"/>
          <w:b/>
          <w:bCs/>
          <w:color w:val="auto"/>
          <w:kern w:val="2"/>
          <w:sz w:val="32"/>
          <w:szCs w:val="32"/>
          <w:lang w:val="en-US" w:eastAsia="zh-CN" w:bidi="ar-SA"/>
        </w:rPr>
        <w:t>经营期限：</w:t>
      </w:r>
      <w:r>
        <w:rPr>
          <w:rFonts w:hint="default" w:ascii="Times New Roman" w:hAnsi="Times New Roman" w:eastAsia="仿宋" w:cs="Times New Roman"/>
          <w:b/>
          <w:bCs/>
          <w:color w:val="auto"/>
          <w:kern w:val="2"/>
          <w:sz w:val="32"/>
          <w:szCs w:val="32"/>
          <w:u w:val="single"/>
          <w:lang w:val="en-US" w:eastAsia="zh-CN" w:bidi="ar-SA"/>
        </w:rPr>
        <w:t>                               </w:t>
      </w:r>
    </w:p>
    <w:p w14:paraId="04C43C12">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firstLine="510"/>
        <w:jc w:val="both"/>
        <w:rPr>
          <w:rFonts w:hint="default" w:ascii="Times New Roman" w:hAnsi="Times New Roman" w:eastAsia="仿宋" w:cs="Times New Roman"/>
          <w:b/>
          <w:bCs/>
          <w:color w:val="auto"/>
          <w:kern w:val="2"/>
          <w:sz w:val="32"/>
          <w:szCs w:val="32"/>
          <w:lang w:val="en-US" w:eastAsia="zh-CN" w:bidi="ar-SA"/>
        </w:rPr>
      </w:pPr>
      <w:r>
        <w:rPr>
          <w:rFonts w:hint="default" w:ascii="Times New Roman" w:hAnsi="Times New Roman" w:eastAsia="仿宋" w:cs="Times New Roman"/>
          <w:b/>
          <w:bCs/>
          <w:color w:val="auto"/>
          <w:kern w:val="2"/>
          <w:sz w:val="32"/>
          <w:szCs w:val="32"/>
          <w:lang w:val="en-US" w:eastAsia="zh-CN" w:bidi="ar-SA"/>
        </w:rPr>
        <w:t>姓名：</w:t>
      </w:r>
      <w:r>
        <w:rPr>
          <w:rFonts w:hint="default" w:ascii="Times New Roman" w:hAnsi="Times New Roman" w:eastAsia="仿宋" w:cs="Times New Roman"/>
          <w:b/>
          <w:bCs/>
          <w:color w:val="auto"/>
          <w:kern w:val="2"/>
          <w:sz w:val="32"/>
          <w:szCs w:val="32"/>
          <w:u w:val="single"/>
          <w:lang w:val="en-US" w:eastAsia="zh-CN" w:bidi="ar-SA"/>
        </w:rPr>
        <w:t>         </w:t>
      </w:r>
      <w:r>
        <w:rPr>
          <w:rFonts w:hint="default" w:ascii="Times New Roman" w:hAnsi="Times New Roman" w:eastAsia="仿宋" w:cs="Times New Roman"/>
          <w:b/>
          <w:bCs/>
          <w:color w:val="auto"/>
          <w:kern w:val="2"/>
          <w:sz w:val="32"/>
          <w:szCs w:val="32"/>
          <w:lang w:val="en-US" w:eastAsia="zh-CN" w:bidi="ar-SA"/>
        </w:rPr>
        <w:t>性别：</w:t>
      </w:r>
      <w:r>
        <w:rPr>
          <w:rFonts w:hint="default" w:ascii="Times New Roman" w:hAnsi="Times New Roman" w:eastAsia="仿宋" w:cs="Times New Roman"/>
          <w:b/>
          <w:bCs/>
          <w:color w:val="auto"/>
          <w:kern w:val="2"/>
          <w:sz w:val="32"/>
          <w:szCs w:val="32"/>
          <w:u w:val="single"/>
          <w:lang w:val="en-US" w:eastAsia="zh-CN" w:bidi="ar-SA"/>
        </w:rPr>
        <w:t>         </w:t>
      </w:r>
      <w:r>
        <w:rPr>
          <w:rFonts w:hint="default" w:ascii="Times New Roman" w:hAnsi="Times New Roman" w:eastAsia="仿宋" w:cs="Times New Roman"/>
          <w:b/>
          <w:bCs/>
          <w:color w:val="auto"/>
          <w:kern w:val="2"/>
          <w:sz w:val="32"/>
          <w:szCs w:val="32"/>
          <w:lang w:val="en-US" w:eastAsia="zh-CN" w:bidi="ar-SA"/>
        </w:rPr>
        <w:t>年龄：</w:t>
      </w:r>
      <w:r>
        <w:rPr>
          <w:rFonts w:hint="default" w:ascii="Times New Roman" w:hAnsi="Times New Roman" w:eastAsia="仿宋" w:cs="Times New Roman"/>
          <w:b/>
          <w:bCs/>
          <w:color w:val="auto"/>
          <w:kern w:val="2"/>
          <w:sz w:val="32"/>
          <w:szCs w:val="32"/>
          <w:u w:val="single"/>
          <w:lang w:val="en-US" w:eastAsia="zh-CN" w:bidi="ar-SA"/>
        </w:rPr>
        <w:t>        </w:t>
      </w:r>
      <w:r>
        <w:rPr>
          <w:rFonts w:hint="default" w:ascii="Times New Roman" w:hAnsi="Times New Roman" w:eastAsia="仿宋" w:cs="Times New Roman"/>
          <w:b/>
          <w:bCs/>
          <w:color w:val="auto"/>
          <w:kern w:val="2"/>
          <w:sz w:val="32"/>
          <w:szCs w:val="32"/>
          <w:lang w:val="en-US" w:eastAsia="zh-CN" w:bidi="ar-SA"/>
        </w:rPr>
        <w:t>职务：</w:t>
      </w:r>
      <w:r>
        <w:rPr>
          <w:rFonts w:hint="default" w:ascii="Times New Roman" w:hAnsi="Times New Roman" w:eastAsia="仿宋" w:cs="Times New Roman"/>
          <w:b/>
          <w:bCs/>
          <w:color w:val="auto"/>
          <w:kern w:val="2"/>
          <w:sz w:val="32"/>
          <w:szCs w:val="32"/>
          <w:u w:val="single"/>
          <w:lang w:val="en-US" w:eastAsia="zh-CN" w:bidi="ar-SA"/>
        </w:rPr>
        <w:t>     </w:t>
      </w:r>
      <w:r>
        <w:rPr>
          <w:rFonts w:hint="default" w:ascii="Times New Roman" w:hAnsi="Times New Roman" w:eastAsia="仿宋" w:cs="Times New Roman"/>
          <w:b/>
          <w:bCs/>
          <w:color w:val="auto"/>
          <w:kern w:val="2"/>
          <w:sz w:val="32"/>
          <w:szCs w:val="32"/>
          <w:lang w:val="en-US" w:eastAsia="zh-CN" w:bidi="ar-SA"/>
        </w:rPr>
        <w:t>系</w:t>
      </w:r>
      <w:r>
        <w:rPr>
          <w:rFonts w:hint="default" w:ascii="Times New Roman" w:hAnsi="Times New Roman" w:eastAsia="仿宋" w:cs="Times New Roman"/>
          <w:b/>
          <w:bCs/>
          <w:color w:val="auto"/>
          <w:kern w:val="2"/>
          <w:sz w:val="32"/>
          <w:szCs w:val="32"/>
          <w:u w:val="single"/>
          <w:lang w:val="en-US" w:eastAsia="zh-CN" w:bidi="ar-SA"/>
        </w:rPr>
        <w:t>                 </w:t>
      </w:r>
      <w:r>
        <w:rPr>
          <w:rFonts w:hint="default" w:ascii="Times New Roman" w:hAnsi="Times New Roman" w:eastAsia="仿宋" w:cs="Times New Roman"/>
          <w:b/>
          <w:bCs/>
          <w:color w:val="auto"/>
          <w:kern w:val="2"/>
          <w:sz w:val="32"/>
          <w:szCs w:val="32"/>
          <w:lang w:val="en-US" w:eastAsia="zh-CN" w:bidi="ar-SA"/>
        </w:rPr>
        <w:t>（报价单位名称）的</w:t>
      </w:r>
      <w:r>
        <w:rPr>
          <w:rFonts w:hint="default" w:ascii="Times New Roman" w:hAnsi="Times New Roman" w:eastAsia="仿宋" w:cs="Times New Roman"/>
          <w:b/>
          <w:bCs/>
          <w:color w:val="auto"/>
          <w:kern w:val="2"/>
          <w:sz w:val="32"/>
          <w:szCs w:val="32"/>
          <w:u w:val="single"/>
          <w:lang w:val="en-US" w:eastAsia="zh-CN" w:bidi="ar-SA"/>
        </w:rPr>
        <w:t>        （</w:t>
      </w:r>
      <w:r>
        <w:rPr>
          <w:rFonts w:hint="default" w:ascii="Times New Roman" w:hAnsi="Times New Roman" w:eastAsia="仿宋" w:cs="Times New Roman"/>
          <w:b/>
          <w:bCs/>
          <w:color w:val="auto"/>
          <w:kern w:val="2"/>
          <w:sz w:val="32"/>
          <w:szCs w:val="32"/>
          <w:lang w:val="en-US" w:eastAsia="zh-CN" w:bidi="ar-SA"/>
        </w:rPr>
        <w:t>仅限填写：法定代表人/企业负责人）。</w:t>
      </w:r>
    </w:p>
    <w:p w14:paraId="3ED6E05B">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firstLine="510"/>
        <w:jc w:val="both"/>
        <w:rPr>
          <w:rFonts w:hint="default" w:ascii="Times New Roman" w:hAnsi="Times New Roman" w:eastAsia="仿宋" w:cs="Times New Roman"/>
          <w:b/>
          <w:bCs/>
          <w:color w:val="auto"/>
          <w:kern w:val="2"/>
          <w:sz w:val="32"/>
          <w:szCs w:val="32"/>
          <w:lang w:val="en-US" w:eastAsia="zh-CN" w:bidi="ar-SA"/>
        </w:rPr>
      </w:pPr>
      <w:r>
        <w:rPr>
          <w:rFonts w:hint="default" w:ascii="Times New Roman" w:hAnsi="Times New Roman" w:eastAsia="仿宋" w:cs="Times New Roman"/>
          <w:b/>
          <w:bCs/>
          <w:color w:val="auto"/>
          <w:kern w:val="2"/>
          <w:sz w:val="32"/>
          <w:szCs w:val="32"/>
          <w:lang w:val="en-US" w:eastAsia="zh-CN" w:bidi="ar-SA"/>
        </w:rPr>
        <w:t>特此证明。</w:t>
      </w:r>
    </w:p>
    <w:p w14:paraId="5973A84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 w:cs="Times New Roman"/>
          <w:b/>
          <w:bCs/>
          <w:color w:val="auto"/>
          <w:kern w:val="2"/>
          <w:sz w:val="32"/>
          <w:szCs w:val="32"/>
          <w:lang w:val="en-US" w:eastAsia="zh-CN" w:bidi="ar-SA"/>
        </w:rPr>
      </w:pPr>
      <w:r>
        <w:rPr>
          <w:rFonts w:hint="default" w:ascii="Times New Roman" w:hAnsi="Times New Roman" w:eastAsia="仿宋" w:cs="Times New Roman"/>
          <w:b/>
          <w:bCs/>
          <w:color w:val="auto"/>
          <w:kern w:val="2"/>
          <w:sz w:val="32"/>
          <w:szCs w:val="32"/>
          <w:lang w:val="en-US" w:eastAsia="zh-CN" w:bidi="ar-SA"/>
        </w:rPr>
        <w:t>我单位参加</w:t>
      </w:r>
      <w:r>
        <w:rPr>
          <w:rFonts w:hint="eastAsia" w:ascii="Times New Roman" w:hAnsi="Times New Roman" w:eastAsia="仿宋_GB2312" w:cs="Times New Roman"/>
          <w:b/>
          <w:bCs/>
          <w:color w:val="auto"/>
          <w:kern w:val="2"/>
          <w:sz w:val="32"/>
          <w:szCs w:val="32"/>
          <w:u w:val="single"/>
          <w:lang w:val="en-US" w:eastAsia="zh-CN" w:bidi="ar-SA"/>
        </w:rPr>
        <w:t>保安公司</w:t>
      </w:r>
      <w:r>
        <w:rPr>
          <w:rFonts w:hint="eastAsia" w:ascii="Times New Roman" w:hAnsi="Times New Roman" w:eastAsia="仿宋" w:cs="Times New Roman"/>
          <w:b/>
          <w:bCs/>
          <w:color w:val="auto"/>
          <w:sz w:val="32"/>
          <w:szCs w:val="32"/>
          <w:u w:val="single"/>
          <w:lang w:val="en-US" w:eastAsia="zh-CN"/>
        </w:rPr>
        <w:t>项目协同综合管理系统采购项目</w:t>
      </w:r>
      <w:r>
        <w:rPr>
          <w:rFonts w:hint="default" w:ascii="Times New Roman" w:hAnsi="Times New Roman" w:eastAsia="仿宋" w:cs="Times New Roman"/>
          <w:b/>
          <w:bCs/>
          <w:color w:val="auto"/>
          <w:kern w:val="2"/>
          <w:sz w:val="32"/>
          <w:szCs w:val="32"/>
          <w:lang w:val="en-US" w:eastAsia="zh-CN" w:bidi="ar-SA"/>
        </w:rPr>
        <w:t>的报价联系人及电话：</w:t>
      </w:r>
      <w:r>
        <w:rPr>
          <w:rFonts w:hint="default" w:ascii="Times New Roman" w:hAnsi="Times New Roman" w:eastAsia="仿宋" w:cs="Times New Roman"/>
          <w:b/>
          <w:bCs/>
          <w:color w:val="auto"/>
          <w:kern w:val="2"/>
          <w:sz w:val="32"/>
          <w:szCs w:val="32"/>
          <w:u w:val="single"/>
          <w:lang w:val="en-US" w:eastAsia="zh-CN" w:bidi="ar-SA"/>
        </w:rPr>
        <w:t xml:space="preserve">      </w:t>
      </w:r>
      <w:r>
        <w:rPr>
          <w:rFonts w:hint="eastAsia" w:ascii="Times New Roman" w:hAnsi="Times New Roman" w:eastAsia="仿宋" w:cs="Times New Roman"/>
          <w:b/>
          <w:bCs/>
          <w:color w:val="auto"/>
          <w:kern w:val="2"/>
          <w:sz w:val="32"/>
          <w:szCs w:val="32"/>
          <w:u w:val="single"/>
          <w:lang w:val="en-US" w:eastAsia="zh-CN" w:bidi="ar-SA"/>
        </w:rPr>
        <w:t xml:space="preserve">        </w:t>
      </w:r>
      <w:r>
        <w:rPr>
          <w:rFonts w:hint="default" w:ascii="Times New Roman" w:hAnsi="Times New Roman" w:eastAsia="仿宋" w:cs="Times New Roman"/>
          <w:b/>
          <w:bCs/>
          <w:color w:val="auto"/>
          <w:kern w:val="2"/>
          <w:sz w:val="32"/>
          <w:szCs w:val="32"/>
          <w:u w:val="single"/>
          <w:lang w:val="en-US" w:eastAsia="zh-CN" w:bidi="ar-SA"/>
        </w:rPr>
        <w:t>    </w:t>
      </w:r>
      <w:r>
        <w:rPr>
          <w:rFonts w:hint="default" w:ascii="Times New Roman" w:hAnsi="Times New Roman" w:eastAsia="仿宋" w:cs="Times New Roman"/>
          <w:b/>
          <w:bCs/>
          <w:color w:val="auto"/>
          <w:kern w:val="2"/>
          <w:sz w:val="32"/>
          <w:szCs w:val="32"/>
          <w:lang w:val="en-US" w:eastAsia="zh-CN" w:bidi="ar-SA"/>
        </w:rPr>
        <w:t>。</w:t>
      </w:r>
    </w:p>
    <w:p w14:paraId="56E103A4">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firstLine="510"/>
        <w:jc w:val="both"/>
        <w:rPr>
          <w:rFonts w:hint="default" w:ascii="Times New Roman" w:hAnsi="Times New Roman" w:eastAsia="仿宋" w:cs="Times New Roman"/>
          <w:b/>
          <w:bCs/>
          <w:color w:val="auto"/>
          <w:kern w:val="2"/>
          <w:sz w:val="32"/>
          <w:szCs w:val="32"/>
          <w:lang w:val="en-US" w:eastAsia="zh-CN" w:bidi="ar-SA"/>
        </w:rPr>
      </w:pPr>
    </w:p>
    <w:p w14:paraId="7D878766">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10"/>
        <w:jc w:val="both"/>
        <w:rPr>
          <w:rFonts w:hint="default" w:ascii="Times New Roman" w:hAnsi="Times New Roman" w:eastAsia="仿宋" w:cs="Times New Roman"/>
          <w:b/>
          <w:bCs/>
          <w:color w:val="auto"/>
          <w:kern w:val="2"/>
          <w:sz w:val="32"/>
          <w:szCs w:val="32"/>
          <w:lang w:val="en-US" w:eastAsia="zh-CN" w:bidi="ar-SA"/>
        </w:rPr>
      </w:pPr>
    </w:p>
    <w:p w14:paraId="27498F37">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10"/>
        <w:jc w:val="both"/>
        <w:rPr>
          <w:rFonts w:hint="default" w:ascii="Times New Roman" w:hAnsi="Times New Roman" w:eastAsia="仿宋" w:cs="Times New Roman"/>
          <w:b/>
          <w:bCs/>
          <w:color w:val="auto"/>
          <w:kern w:val="2"/>
          <w:sz w:val="32"/>
          <w:szCs w:val="32"/>
          <w:lang w:val="en-US" w:eastAsia="zh-CN" w:bidi="ar-SA"/>
        </w:rPr>
      </w:pPr>
    </w:p>
    <w:p w14:paraId="23741B51">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68" w:lineRule="atLeast"/>
        <w:ind w:left="0" w:right="0"/>
        <w:jc w:val="right"/>
        <w:rPr>
          <w:rFonts w:hint="default" w:ascii="Times New Roman" w:hAnsi="Times New Roman" w:eastAsia="仿宋" w:cs="Times New Roman"/>
          <w:b/>
          <w:bCs/>
          <w:color w:val="auto"/>
          <w:kern w:val="2"/>
          <w:sz w:val="32"/>
          <w:szCs w:val="32"/>
          <w:lang w:val="en-US" w:eastAsia="zh-CN" w:bidi="ar-SA"/>
        </w:rPr>
      </w:pPr>
      <w:r>
        <w:rPr>
          <w:rFonts w:hint="default" w:ascii="Times New Roman" w:hAnsi="Times New Roman" w:eastAsia="仿宋" w:cs="Times New Roman"/>
          <w:b/>
          <w:bCs/>
          <w:color w:val="auto"/>
          <w:kern w:val="2"/>
          <w:sz w:val="32"/>
          <w:szCs w:val="32"/>
          <w:lang w:val="en-US" w:eastAsia="zh-CN" w:bidi="ar-SA"/>
        </w:rPr>
        <w:t>单位名称：     （盖单位公章）</w:t>
      </w:r>
    </w:p>
    <w:p w14:paraId="53A87218">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68" w:lineRule="atLeast"/>
        <w:ind w:left="0" w:right="0"/>
        <w:jc w:val="right"/>
        <w:rPr>
          <w:rFonts w:hint="default" w:ascii="Times New Roman" w:hAnsi="Times New Roman" w:eastAsia="仿宋" w:cs="Times New Roman"/>
          <w:b/>
          <w:bCs/>
          <w:color w:val="auto"/>
          <w:kern w:val="2"/>
          <w:sz w:val="32"/>
          <w:szCs w:val="32"/>
          <w:lang w:val="en-US" w:eastAsia="zh-CN" w:bidi="ar-SA"/>
        </w:rPr>
      </w:pPr>
      <w:r>
        <w:rPr>
          <w:rFonts w:hint="default" w:ascii="Times New Roman" w:hAnsi="Times New Roman" w:eastAsia="仿宋" w:cs="Times New Roman"/>
          <w:b/>
          <w:bCs/>
          <w:color w:val="auto"/>
          <w:kern w:val="2"/>
          <w:sz w:val="32"/>
          <w:szCs w:val="32"/>
          <w:lang w:val="en-US" w:eastAsia="zh-CN" w:bidi="ar-SA"/>
        </w:rPr>
        <w:t>        年       月       日</w:t>
      </w:r>
    </w:p>
    <w:tbl>
      <w:tblPr>
        <w:tblStyle w:val="10"/>
        <w:tblW w:w="0" w:type="auto"/>
        <w:tblCellSpacing w:w="15" w:type="dxa"/>
        <w:tblInd w:w="1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9107"/>
      </w:tblGrid>
      <w:tr w14:paraId="4AC382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75" w:hRule="atLeast"/>
          <w:tblCellSpacing w:w="15" w:type="dxa"/>
        </w:trPr>
        <w:tc>
          <w:tcPr>
            <w:tcW w:w="0" w:type="auto"/>
            <w:tcBorders>
              <w:top w:val="single" w:color="auto" w:sz="6" w:space="0"/>
              <w:left w:val="single" w:color="auto" w:sz="6" w:space="0"/>
              <w:bottom w:val="single" w:color="auto" w:sz="6" w:space="0"/>
              <w:right w:val="single" w:color="auto" w:sz="6" w:space="0"/>
            </w:tcBorders>
            <w:noWrap w:val="0"/>
            <w:tcMar>
              <w:top w:w="75" w:type="dxa"/>
              <w:left w:w="150" w:type="dxa"/>
              <w:bottom w:w="75" w:type="dxa"/>
              <w:right w:w="150" w:type="dxa"/>
            </w:tcMar>
            <w:vAlign w:val="top"/>
          </w:tcPr>
          <w:p w14:paraId="796FB7E5">
            <w:pPr>
              <w:pStyle w:val="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Times New Roman" w:hAnsi="Times New Roman" w:eastAsia="仿宋" w:cs="Times New Roman"/>
                <w:b/>
                <w:bCs/>
                <w:color w:val="auto"/>
                <w:kern w:val="2"/>
                <w:sz w:val="32"/>
                <w:szCs w:val="32"/>
                <w:lang w:val="en-US" w:eastAsia="zh-CN" w:bidi="ar-SA"/>
              </w:rPr>
            </w:pPr>
            <w:r>
              <w:rPr>
                <w:rFonts w:hint="default" w:ascii="Times New Roman" w:hAnsi="Times New Roman" w:eastAsia="仿宋" w:cs="Times New Roman"/>
                <w:b/>
                <w:bCs/>
                <w:color w:val="auto"/>
                <w:kern w:val="2"/>
                <w:sz w:val="32"/>
                <w:szCs w:val="32"/>
                <w:lang w:val="en-US" w:eastAsia="zh-CN" w:bidi="ar-SA"/>
              </w:rPr>
              <w:t>粘贴法定代表人/企业负责人（分公司或支公司）身份证（影印件或影印件正、反两面）</w:t>
            </w:r>
          </w:p>
        </w:tc>
      </w:tr>
    </w:tbl>
    <w:p w14:paraId="5448B4B8">
      <w:pPr>
        <w:pStyle w:val="7"/>
        <w:keepNext w:val="0"/>
        <w:keepLines w:val="0"/>
        <w:widowControl/>
        <w:suppressLineNumbers w:val="0"/>
        <w:pBdr>
          <w:top w:val="none" w:color="auto" w:sz="0" w:space="0"/>
          <w:left w:val="none" w:color="auto" w:sz="0" w:space="0"/>
          <w:bottom w:val="none" w:color="auto" w:sz="0" w:space="0"/>
          <w:right w:val="none" w:color="auto" w:sz="0" w:space="0"/>
        </w:pBdr>
        <w:tabs>
          <w:tab w:val="left" w:pos="374"/>
        </w:tabs>
        <w:spacing w:before="0" w:beforeAutospacing="0" w:after="0" w:afterAutospacing="0"/>
        <w:ind w:right="0"/>
        <w:jc w:val="both"/>
        <w:rPr>
          <w:rFonts w:hint="default" w:ascii="Times New Roman" w:hAnsi="Times New Roman" w:eastAsia="仿宋" w:cs="Times New Roman"/>
          <w:b/>
          <w:bCs/>
          <w:color w:val="auto"/>
          <w:kern w:val="2"/>
          <w:sz w:val="32"/>
          <w:szCs w:val="32"/>
          <w:lang w:val="en-US" w:eastAsia="zh-CN" w:bidi="ar-SA"/>
        </w:rPr>
      </w:pPr>
    </w:p>
    <w:p w14:paraId="1D0C2131">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 w:cs="Times New Roman"/>
          <w:b/>
          <w:bCs/>
          <w:color w:val="auto"/>
          <w:kern w:val="2"/>
          <w:sz w:val="32"/>
          <w:szCs w:val="32"/>
          <w:lang w:val="en-US" w:eastAsia="zh-CN" w:bidi="ar-SA"/>
        </w:rPr>
        <w:sectPr>
          <w:pgSz w:w="11906" w:h="16838"/>
          <w:pgMar w:top="1587" w:right="1587" w:bottom="1587" w:left="1587" w:header="851" w:footer="992" w:gutter="0"/>
          <w:pgBorders w:offsetFrom="page">
            <w:top w:val="none" w:sz="0" w:space="0"/>
            <w:left w:val="none" w:sz="0" w:space="0"/>
            <w:bottom w:val="none" w:sz="0" w:space="0"/>
            <w:right w:val="none" w:sz="0" w:space="0"/>
          </w:pgBorders>
          <w:pgNumType w:fmt="decimal"/>
          <w:cols w:space="720" w:num="1"/>
          <w:rtlGutter w:val="0"/>
          <w:docGrid w:type="lines" w:linePitch="312" w:charSpace="0"/>
        </w:sectPr>
      </w:pPr>
    </w:p>
    <w:p w14:paraId="3D887114">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 w:cs="Times New Roman"/>
          <w:b/>
          <w:bCs/>
          <w:color w:val="auto"/>
          <w:kern w:val="2"/>
          <w:sz w:val="32"/>
          <w:szCs w:val="32"/>
          <w:lang w:val="en-US" w:eastAsia="zh-CN" w:bidi="ar-SA"/>
        </w:rPr>
      </w:pPr>
      <w:r>
        <w:rPr>
          <w:rFonts w:hint="default" w:ascii="Times New Roman" w:hAnsi="Times New Roman" w:eastAsia="仿宋" w:cs="Times New Roman"/>
          <w:b/>
          <w:bCs/>
          <w:color w:val="auto"/>
          <w:kern w:val="2"/>
          <w:sz w:val="32"/>
          <w:szCs w:val="32"/>
          <w:lang w:val="en-US" w:eastAsia="zh-CN" w:bidi="ar-SA"/>
        </w:rPr>
        <w:t>法定代表人/企业负责人授权书</w:t>
      </w:r>
    </w:p>
    <w:p w14:paraId="2A4C6FC1">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10"/>
        <w:jc w:val="both"/>
        <w:rPr>
          <w:rFonts w:hint="default" w:ascii="Times New Roman" w:hAnsi="Times New Roman" w:eastAsia="仿宋" w:cs="Times New Roman"/>
          <w:b/>
          <w:bCs/>
          <w:color w:val="auto"/>
          <w:kern w:val="2"/>
          <w:sz w:val="32"/>
          <w:szCs w:val="32"/>
          <w:lang w:val="en-US" w:eastAsia="zh-CN" w:bidi="ar-SA"/>
        </w:rPr>
      </w:pPr>
    </w:p>
    <w:p w14:paraId="7F1DFC1B">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eastAsia="仿宋" w:cs="Times New Roman"/>
          <w:b/>
          <w:bCs/>
          <w:color w:val="auto"/>
          <w:kern w:val="2"/>
          <w:sz w:val="32"/>
          <w:szCs w:val="32"/>
          <w:lang w:val="en-US" w:eastAsia="zh-CN" w:bidi="ar-SA"/>
        </w:rPr>
      </w:pPr>
      <w:r>
        <w:rPr>
          <w:rFonts w:hint="default" w:ascii="Times New Roman" w:hAnsi="Times New Roman" w:eastAsia="仿宋" w:cs="Times New Roman"/>
          <w:b/>
          <w:bCs/>
          <w:color w:val="auto"/>
          <w:kern w:val="2"/>
          <w:sz w:val="32"/>
          <w:szCs w:val="32"/>
          <w:lang w:val="en-US" w:eastAsia="zh-CN" w:bidi="ar-SA"/>
        </w:rPr>
        <w:t>致：</w:t>
      </w:r>
      <w:r>
        <w:rPr>
          <w:rFonts w:hint="eastAsia" w:ascii="Times New Roman" w:hAnsi="Times New Roman" w:eastAsia="仿宋_GB2312" w:cs="Times New Roman"/>
          <w:b/>
          <w:bCs/>
          <w:color w:val="auto"/>
          <w:kern w:val="2"/>
          <w:sz w:val="32"/>
          <w:szCs w:val="32"/>
          <w:lang w:val="en-US" w:eastAsia="zh-CN" w:bidi="ar-SA"/>
        </w:rPr>
        <w:t>四川省南充市保安服务有限公司</w:t>
      </w:r>
    </w:p>
    <w:p w14:paraId="3B9FD3D5">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firstLine="510"/>
        <w:jc w:val="both"/>
        <w:rPr>
          <w:rFonts w:hint="default" w:ascii="Times New Roman" w:hAnsi="Times New Roman" w:eastAsia="仿宋" w:cs="Times New Roman"/>
          <w:b/>
          <w:bCs/>
          <w:color w:val="auto"/>
          <w:kern w:val="2"/>
          <w:sz w:val="32"/>
          <w:szCs w:val="32"/>
          <w:lang w:val="en-US" w:eastAsia="zh-CN" w:bidi="ar-SA"/>
        </w:rPr>
      </w:pPr>
      <w:r>
        <w:rPr>
          <w:rFonts w:hint="default" w:ascii="Times New Roman" w:hAnsi="Times New Roman" w:eastAsia="仿宋" w:cs="Times New Roman"/>
          <w:b/>
          <w:bCs/>
          <w:color w:val="auto"/>
          <w:kern w:val="2"/>
          <w:sz w:val="32"/>
          <w:szCs w:val="32"/>
          <w:u w:val="single"/>
          <w:lang w:val="en-US" w:eastAsia="zh-CN" w:bidi="ar-SA"/>
        </w:rPr>
        <w:t>              </w:t>
      </w:r>
      <w:r>
        <w:rPr>
          <w:rFonts w:hint="default" w:ascii="Times New Roman" w:hAnsi="Times New Roman" w:eastAsia="仿宋" w:cs="Times New Roman"/>
          <w:b/>
          <w:bCs/>
          <w:color w:val="auto"/>
          <w:kern w:val="2"/>
          <w:sz w:val="32"/>
          <w:szCs w:val="32"/>
          <w:lang w:val="en-US" w:eastAsia="zh-CN" w:bidi="ar-SA"/>
        </w:rPr>
        <w:t>（报价公司全称）</w:t>
      </w:r>
      <w:r>
        <w:rPr>
          <w:rFonts w:hint="default" w:ascii="Times New Roman" w:hAnsi="Times New Roman" w:eastAsia="仿宋" w:cs="Times New Roman"/>
          <w:b/>
          <w:bCs/>
          <w:color w:val="auto"/>
          <w:kern w:val="2"/>
          <w:sz w:val="32"/>
          <w:szCs w:val="32"/>
          <w:u w:val="single"/>
          <w:lang w:val="en-US" w:eastAsia="zh-CN" w:bidi="ar-SA"/>
        </w:rPr>
        <w:t>       </w:t>
      </w:r>
      <w:r>
        <w:rPr>
          <w:rFonts w:hint="default" w:ascii="Times New Roman" w:hAnsi="Times New Roman" w:eastAsia="仿宋" w:cs="Times New Roman"/>
          <w:b/>
          <w:bCs/>
          <w:color w:val="auto"/>
          <w:kern w:val="2"/>
          <w:sz w:val="32"/>
          <w:szCs w:val="32"/>
          <w:lang w:val="en-US" w:eastAsia="zh-CN" w:bidi="ar-SA"/>
        </w:rPr>
        <w:t>（仅限填写：法定代表人/企业负责人）</w:t>
      </w:r>
      <w:r>
        <w:rPr>
          <w:rFonts w:hint="default" w:ascii="Times New Roman" w:hAnsi="Times New Roman" w:eastAsia="仿宋" w:cs="Times New Roman"/>
          <w:b/>
          <w:bCs/>
          <w:color w:val="auto"/>
          <w:kern w:val="2"/>
          <w:sz w:val="32"/>
          <w:szCs w:val="32"/>
          <w:u w:val="single"/>
          <w:lang w:val="en-US" w:eastAsia="zh-CN" w:bidi="ar-SA"/>
        </w:rPr>
        <w:t xml:space="preserve">      </w:t>
      </w:r>
      <w:r>
        <w:rPr>
          <w:rFonts w:hint="default" w:ascii="Times New Roman" w:hAnsi="Times New Roman" w:eastAsia="仿宋" w:cs="Times New Roman"/>
          <w:b/>
          <w:bCs/>
          <w:color w:val="auto"/>
          <w:kern w:val="2"/>
          <w:sz w:val="32"/>
          <w:szCs w:val="32"/>
          <w:lang w:val="en-US" w:eastAsia="zh-CN" w:bidi="ar-SA"/>
        </w:rPr>
        <w:t> 授权</w:t>
      </w:r>
      <w:r>
        <w:rPr>
          <w:rFonts w:hint="default" w:ascii="Times New Roman" w:hAnsi="Times New Roman" w:eastAsia="仿宋" w:cs="Times New Roman"/>
          <w:b/>
          <w:bCs/>
          <w:color w:val="auto"/>
          <w:kern w:val="2"/>
          <w:sz w:val="32"/>
          <w:szCs w:val="32"/>
          <w:u w:val="single"/>
          <w:lang w:val="en-US" w:eastAsia="zh-CN" w:bidi="ar-SA"/>
        </w:rPr>
        <w:t>         </w:t>
      </w:r>
      <w:r>
        <w:rPr>
          <w:rFonts w:hint="default" w:ascii="Times New Roman" w:hAnsi="Times New Roman" w:eastAsia="仿宋" w:cs="Times New Roman"/>
          <w:b/>
          <w:bCs/>
          <w:color w:val="auto"/>
          <w:kern w:val="2"/>
          <w:sz w:val="32"/>
          <w:szCs w:val="32"/>
          <w:lang w:val="en-US" w:eastAsia="zh-CN" w:bidi="ar-SA"/>
        </w:rPr>
        <w:t>（委托代理人姓名）为全权代表，参加贵公司组织的</w:t>
      </w:r>
      <w:r>
        <w:rPr>
          <w:rFonts w:hint="eastAsia" w:ascii="Times New Roman" w:hAnsi="Times New Roman" w:eastAsia="仿宋_GB2312" w:cs="Times New Roman"/>
          <w:b/>
          <w:bCs/>
          <w:color w:val="auto"/>
          <w:kern w:val="2"/>
          <w:sz w:val="32"/>
          <w:szCs w:val="32"/>
          <w:u w:val="single"/>
          <w:lang w:val="en-US" w:eastAsia="zh-CN" w:bidi="ar-SA"/>
        </w:rPr>
        <w:t>保安公司</w:t>
      </w:r>
      <w:r>
        <w:rPr>
          <w:rFonts w:hint="eastAsia" w:ascii="Times New Roman" w:hAnsi="Times New Roman" w:eastAsia="仿宋" w:cs="Times New Roman"/>
          <w:b/>
          <w:bCs/>
          <w:color w:val="auto"/>
          <w:sz w:val="32"/>
          <w:szCs w:val="32"/>
          <w:u w:val="single"/>
          <w:lang w:val="en-US" w:eastAsia="zh-CN"/>
        </w:rPr>
        <w:t>项目协同综合管理系统采购项目</w:t>
      </w:r>
      <w:r>
        <w:rPr>
          <w:rFonts w:hint="default" w:ascii="Times New Roman" w:hAnsi="Times New Roman" w:eastAsia="仿宋" w:cs="Times New Roman"/>
          <w:b/>
          <w:bCs/>
          <w:color w:val="auto"/>
          <w:kern w:val="2"/>
          <w:sz w:val="32"/>
          <w:szCs w:val="32"/>
          <w:lang w:val="en-US" w:eastAsia="zh-CN" w:bidi="ar-SA"/>
        </w:rPr>
        <w:t>询价活动，全权代表我方处理招标活动中的一切事宜。</w:t>
      </w:r>
    </w:p>
    <w:p w14:paraId="01DB6ECD">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10"/>
        <w:jc w:val="both"/>
        <w:rPr>
          <w:rFonts w:hint="default" w:ascii="Times New Roman" w:hAnsi="Times New Roman" w:eastAsia="仿宋" w:cs="Times New Roman"/>
          <w:b/>
          <w:bCs/>
          <w:color w:val="auto"/>
          <w:kern w:val="2"/>
          <w:sz w:val="32"/>
          <w:szCs w:val="32"/>
          <w:lang w:val="en-US" w:eastAsia="zh-CN" w:bidi="ar-SA"/>
        </w:rPr>
      </w:pPr>
    </w:p>
    <w:p w14:paraId="185B1CAB">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10"/>
        <w:jc w:val="both"/>
        <w:rPr>
          <w:rFonts w:hint="default" w:ascii="Times New Roman" w:hAnsi="Times New Roman" w:eastAsia="仿宋" w:cs="Times New Roman"/>
          <w:b/>
          <w:bCs/>
          <w:color w:val="auto"/>
          <w:kern w:val="2"/>
          <w:sz w:val="32"/>
          <w:szCs w:val="32"/>
          <w:lang w:val="en-US" w:eastAsia="zh-CN" w:bidi="ar-SA"/>
        </w:rPr>
      </w:pPr>
    </w:p>
    <w:p w14:paraId="5B2FFBF5">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68" w:lineRule="atLeast"/>
        <w:ind w:left="0" w:right="0"/>
        <w:jc w:val="right"/>
        <w:rPr>
          <w:rFonts w:hint="default" w:ascii="Times New Roman" w:hAnsi="Times New Roman" w:eastAsia="仿宋" w:cs="Times New Roman"/>
          <w:b/>
          <w:bCs/>
          <w:color w:val="auto"/>
          <w:kern w:val="2"/>
          <w:sz w:val="32"/>
          <w:szCs w:val="32"/>
          <w:lang w:val="en-US" w:eastAsia="zh-CN" w:bidi="ar-SA"/>
        </w:rPr>
      </w:pPr>
      <w:r>
        <w:rPr>
          <w:rFonts w:hint="default" w:ascii="Times New Roman" w:hAnsi="Times New Roman" w:eastAsia="仿宋" w:cs="Times New Roman"/>
          <w:b/>
          <w:bCs/>
          <w:color w:val="auto"/>
          <w:kern w:val="2"/>
          <w:sz w:val="32"/>
          <w:szCs w:val="32"/>
          <w:lang w:val="en-US" w:eastAsia="zh-CN" w:bidi="ar-SA"/>
        </w:rPr>
        <w:t>报价单位名称：        （公章）</w:t>
      </w:r>
    </w:p>
    <w:p w14:paraId="065B69FF">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right"/>
        <w:rPr>
          <w:rFonts w:hint="default" w:ascii="Times New Roman" w:hAnsi="Times New Roman" w:eastAsia="仿宋" w:cs="Times New Roman"/>
          <w:b/>
          <w:bCs/>
          <w:color w:val="auto"/>
          <w:kern w:val="2"/>
          <w:sz w:val="32"/>
          <w:szCs w:val="32"/>
          <w:lang w:val="en-US" w:eastAsia="zh-CN" w:bidi="ar-SA"/>
        </w:rPr>
      </w:pPr>
      <w:r>
        <w:rPr>
          <w:rFonts w:hint="default" w:ascii="Times New Roman" w:hAnsi="Times New Roman" w:eastAsia="仿宋" w:cs="Times New Roman"/>
          <w:b/>
          <w:bCs/>
          <w:color w:val="auto"/>
          <w:kern w:val="2"/>
          <w:sz w:val="32"/>
          <w:szCs w:val="32"/>
          <w:lang w:val="en-US" w:eastAsia="zh-CN" w:bidi="ar-SA"/>
        </w:rPr>
        <w:t>法定代表人/企业负责人：      （签章）</w:t>
      </w:r>
    </w:p>
    <w:p w14:paraId="6A0FC7EA">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right"/>
        <w:rPr>
          <w:rFonts w:hint="default" w:ascii="Times New Roman" w:hAnsi="Times New Roman" w:eastAsia="仿宋" w:cs="Times New Roman"/>
          <w:b/>
          <w:bCs/>
          <w:color w:val="auto"/>
          <w:kern w:val="2"/>
          <w:sz w:val="32"/>
          <w:szCs w:val="32"/>
          <w:lang w:val="en-US" w:eastAsia="zh-CN" w:bidi="ar-SA"/>
        </w:rPr>
      </w:pPr>
      <w:r>
        <w:rPr>
          <w:rFonts w:hint="default" w:ascii="Times New Roman" w:hAnsi="Times New Roman" w:eastAsia="仿宋" w:cs="Times New Roman"/>
          <w:b/>
          <w:bCs/>
          <w:color w:val="auto"/>
          <w:kern w:val="2"/>
          <w:sz w:val="32"/>
          <w:szCs w:val="32"/>
          <w:lang w:val="en-US" w:eastAsia="zh-CN" w:bidi="ar-SA"/>
        </w:rPr>
        <w:t>年     月    日</w:t>
      </w:r>
    </w:p>
    <w:p w14:paraId="41CB6AA2">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default" w:ascii="Times New Roman" w:hAnsi="Times New Roman" w:eastAsia="仿宋" w:cs="Times New Roman"/>
          <w:b/>
          <w:bCs/>
          <w:color w:val="auto"/>
          <w:kern w:val="2"/>
          <w:sz w:val="32"/>
          <w:szCs w:val="32"/>
          <w:lang w:val="en-US" w:eastAsia="zh-CN" w:bidi="ar-SA"/>
        </w:rPr>
      </w:pPr>
    </w:p>
    <w:p w14:paraId="269C8F56">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imes New Roman" w:hAnsi="Times New Roman" w:eastAsia="仿宋" w:cs="Times New Roman"/>
          <w:b/>
          <w:bCs/>
          <w:color w:val="auto"/>
          <w:kern w:val="2"/>
          <w:sz w:val="32"/>
          <w:szCs w:val="32"/>
          <w:lang w:val="en-US" w:eastAsia="zh-CN" w:bidi="ar-SA"/>
        </w:rPr>
      </w:pPr>
      <w:r>
        <w:rPr>
          <w:rFonts w:hint="default" w:ascii="Times New Roman" w:hAnsi="Times New Roman" w:eastAsia="仿宋" w:cs="Times New Roman"/>
          <w:b/>
          <w:bCs/>
          <w:color w:val="auto"/>
          <w:kern w:val="2"/>
          <w:sz w:val="32"/>
          <w:szCs w:val="32"/>
          <w:lang w:val="en-US" w:eastAsia="zh-CN" w:bidi="ar-SA"/>
        </w:rPr>
        <w:t>附：</w:t>
      </w:r>
    </w:p>
    <w:p w14:paraId="3CF9625F">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imes New Roman" w:hAnsi="Times New Roman" w:eastAsia="仿宋" w:cs="Times New Roman"/>
          <w:b/>
          <w:bCs/>
          <w:color w:val="auto"/>
          <w:kern w:val="2"/>
          <w:sz w:val="32"/>
          <w:szCs w:val="32"/>
          <w:lang w:val="en-US" w:eastAsia="zh-CN" w:bidi="ar-SA"/>
        </w:rPr>
      </w:pPr>
      <w:r>
        <w:rPr>
          <w:rFonts w:hint="default" w:ascii="Times New Roman" w:hAnsi="Times New Roman" w:eastAsia="仿宋" w:cs="Times New Roman"/>
          <w:b/>
          <w:bCs/>
          <w:color w:val="auto"/>
          <w:kern w:val="2"/>
          <w:sz w:val="32"/>
          <w:szCs w:val="32"/>
          <w:lang w:val="en-US" w:eastAsia="zh-CN" w:bidi="ar-SA"/>
        </w:rPr>
        <w:t>委托代理人姓名：                 </w:t>
      </w:r>
    </w:p>
    <w:p w14:paraId="659D9AAD">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imes New Roman" w:hAnsi="Times New Roman" w:eastAsia="仿宋" w:cs="Times New Roman"/>
          <w:b/>
          <w:bCs/>
          <w:color w:val="auto"/>
          <w:kern w:val="2"/>
          <w:sz w:val="32"/>
          <w:szCs w:val="32"/>
          <w:lang w:val="en-US" w:eastAsia="zh-CN" w:bidi="ar-SA"/>
        </w:rPr>
      </w:pPr>
      <w:r>
        <w:rPr>
          <w:rFonts w:hint="default" w:ascii="Times New Roman" w:hAnsi="Times New Roman" w:eastAsia="仿宋" w:cs="Times New Roman"/>
          <w:b/>
          <w:bCs/>
          <w:color w:val="auto"/>
          <w:kern w:val="2"/>
          <w:sz w:val="32"/>
          <w:szCs w:val="32"/>
          <w:lang w:val="en-US" w:eastAsia="zh-CN" w:bidi="ar-SA"/>
        </w:rPr>
        <w:t>职        务：                   </w:t>
      </w:r>
    </w:p>
    <w:p w14:paraId="49D5EBD7">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imes New Roman" w:hAnsi="Times New Roman" w:eastAsia="仿宋" w:cs="Times New Roman"/>
          <w:b/>
          <w:bCs/>
          <w:color w:val="auto"/>
          <w:kern w:val="2"/>
          <w:sz w:val="32"/>
          <w:szCs w:val="32"/>
          <w:lang w:val="en-US" w:eastAsia="zh-CN" w:bidi="ar-SA"/>
        </w:rPr>
      </w:pPr>
      <w:r>
        <w:rPr>
          <w:rFonts w:hint="default" w:ascii="Times New Roman" w:hAnsi="Times New Roman" w:eastAsia="仿宋" w:cs="Times New Roman"/>
          <w:b/>
          <w:bCs/>
          <w:color w:val="auto"/>
          <w:kern w:val="2"/>
          <w:sz w:val="32"/>
          <w:szCs w:val="32"/>
          <w:lang w:val="en-US" w:eastAsia="zh-CN" w:bidi="ar-SA"/>
        </w:rPr>
        <w:t>电        话：                   </w:t>
      </w:r>
    </w:p>
    <w:p w14:paraId="38A0802E">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imes New Roman" w:hAnsi="Times New Roman" w:eastAsia="仿宋" w:cs="Times New Roman"/>
          <w:b/>
          <w:bCs/>
          <w:color w:val="auto"/>
          <w:kern w:val="2"/>
          <w:sz w:val="32"/>
          <w:szCs w:val="32"/>
          <w:lang w:val="en-US" w:eastAsia="zh-CN" w:bidi="ar-SA"/>
        </w:rPr>
      </w:pPr>
      <w:r>
        <w:rPr>
          <w:rFonts w:hint="default" w:ascii="Times New Roman" w:hAnsi="Times New Roman" w:eastAsia="仿宋" w:cs="Times New Roman"/>
          <w:b/>
          <w:bCs/>
          <w:color w:val="auto"/>
          <w:kern w:val="2"/>
          <w:sz w:val="32"/>
          <w:szCs w:val="32"/>
          <w:lang w:val="en-US" w:eastAsia="zh-CN" w:bidi="ar-SA"/>
        </w:rPr>
        <w:t>详细通讯地址：                   </w:t>
      </w:r>
    </w:p>
    <w:p w14:paraId="31228B36">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imes New Roman" w:hAnsi="Times New Roman" w:eastAsia="仿宋" w:cs="Times New Roman"/>
          <w:b/>
          <w:bCs/>
          <w:color w:val="auto"/>
          <w:kern w:val="2"/>
          <w:sz w:val="32"/>
          <w:szCs w:val="32"/>
          <w:lang w:val="en-US" w:eastAsia="zh-CN" w:bidi="ar-SA"/>
        </w:rPr>
        <w:sectPr>
          <w:pgSz w:w="11906" w:h="16838"/>
          <w:pgMar w:top="1587" w:right="1587" w:bottom="1587" w:left="1587" w:header="851" w:footer="992" w:gutter="0"/>
          <w:pgBorders w:offsetFrom="page">
            <w:top w:val="none" w:sz="0" w:space="0"/>
            <w:left w:val="none" w:sz="0" w:space="0"/>
            <w:bottom w:val="none" w:sz="0" w:space="0"/>
            <w:right w:val="none" w:sz="0" w:space="0"/>
          </w:pgBorders>
          <w:pgNumType w:fmt="decimal"/>
          <w:cols w:space="720" w:num="1"/>
          <w:rtlGutter w:val="0"/>
          <w:docGrid w:type="lines" w:linePitch="312" w:charSpace="0"/>
        </w:sectPr>
      </w:pPr>
      <w:r>
        <w:rPr>
          <w:rFonts w:hint="default" w:ascii="Times New Roman" w:hAnsi="Times New Roman" w:eastAsia="仿宋" w:cs="Times New Roman"/>
          <w:b/>
          <w:bCs/>
          <w:color w:val="auto"/>
          <w:kern w:val="2"/>
          <w:sz w:val="32"/>
          <w:szCs w:val="32"/>
          <w:lang w:val="en-US" w:eastAsia="zh-CN" w:bidi="ar-SA"/>
        </w:rPr>
        <w:t>邮政编码：                   </w:t>
      </w:r>
    </w:p>
    <w:p w14:paraId="546F9F5B">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imes New Roman" w:hAnsi="Times New Roman" w:eastAsia="仿宋" w:cs="Times New Roman"/>
          <w:b/>
          <w:bCs/>
          <w:color w:val="auto"/>
          <w:kern w:val="2"/>
          <w:sz w:val="32"/>
          <w:szCs w:val="32"/>
          <w:lang w:val="en-US" w:eastAsia="zh-CN" w:bidi="ar-SA"/>
        </w:rPr>
      </w:pPr>
    </w:p>
    <w:tbl>
      <w:tblPr>
        <w:tblStyle w:val="10"/>
        <w:tblW w:w="0" w:type="auto"/>
        <w:tblCellSpacing w:w="15" w:type="dxa"/>
        <w:tblInd w:w="1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0013"/>
      </w:tblGrid>
      <w:tr w14:paraId="4FEB4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72" w:hRule="atLeast"/>
          <w:tblCellSpacing w:w="15" w:type="dxa"/>
        </w:trPr>
        <w:tc>
          <w:tcPr>
            <w:tcW w:w="0" w:type="auto"/>
            <w:tcBorders>
              <w:top w:val="single" w:color="auto" w:sz="6" w:space="0"/>
              <w:left w:val="single" w:color="auto" w:sz="6" w:space="0"/>
              <w:bottom w:val="single" w:color="auto" w:sz="6" w:space="0"/>
              <w:right w:val="single" w:color="auto" w:sz="6" w:space="0"/>
            </w:tcBorders>
            <w:noWrap w:val="0"/>
            <w:tcMar>
              <w:top w:w="75" w:type="dxa"/>
              <w:left w:w="150" w:type="dxa"/>
              <w:bottom w:w="75" w:type="dxa"/>
              <w:right w:w="150" w:type="dxa"/>
            </w:tcMar>
            <w:vAlign w:val="top"/>
          </w:tcPr>
          <w:p w14:paraId="7083C712">
            <w:pPr>
              <w:pStyle w:val="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Times New Roman" w:hAnsi="Times New Roman" w:eastAsia="仿宋" w:cs="Times New Roman"/>
                <w:b/>
                <w:bCs/>
                <w:color w:val="auto"/>
                <w:kern w:val="2"/>
                <w:sz w:val="32"/>
                <w:szCs w:val="32"/>
                <w:lang w:val="en-US" w:eastAsia="zh-CN" w:bidi="ar-SA"/>
              </w:rPr>
            </w:pPr>
            <w:r>
              <w:rPr>
                <w:rFonts w:hint="default" w:ascii="Times New Roman" w:hAnsi="Times New Roman" w:eastAsia="仿宋" w:cs="Times New Roman"/>
                <w:b/>
                <w:bCs/>
                <w:color w:val="auto"/>
                <w:kern w:val="2"/>
                <w:sz w:val="32"/>
                <w:szCs w:val="32"/>
                <w:lang w:val="en-US" w:eastAsia="zh-CN" w:bidi="ar-SA"/>
              </w:rPr>
              <w:t>粘贴法定代表人/企业负责人（分公司或支公司）身份证明（影印件或影印件正、反两面）</w:t>
            </w:r>
          </w:p>
          <w:p w14:paraId="00B3A1E4">
            <w:pPr>
              <w:pStyle w:val="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Times New Roman" w:hAnsi="Times New Roman" w:eastAsia="仿宋" w:cs="Times New Roman"/>
                <w:b/>
                <w:bCs/>
                <w:color w:val="auto"/>
                <w:kern w:val="2"/>
                <w:sz w:val="32"/>
                <w:szCs w:val="32"/>
                <w:lang w:val="en-US" w:eastAsia="zh-CN" w:bidi="ar-SA"/>
              </w:rPr>
            </w:pPr>
          </w:p>
        </w:tc>
      </w:tr>
      <w:tr w14:paraId="7D7DA2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88" w:hRule="atLeast"/>
          <w:tblCellSpacing w:w="15" w:type="dxa"/>
        </w:trPr>
        <w:tc>
          <w:tcPr>
            <w:tcW w:w="0" w:type="auto"/>
            <w:tcBorders>
              <w:top w:val="nil"/>
              <w:left w:val="single" w:color="auto" w:sz="6" w:space="0"/>
              <w:bottom w:val="single" w:color="auto" w:sz="6" w:space="0"/>
              <w:right w:val="single" w:color="auto" w:sz="6" w:space="0"/>
            </w:tcBorders>
            <w:noWrap w:val="0"/>
            <w:tcMar>
              <w:top w:w="75" w:type="dxa"/>
              <w:left w:w="150" w:type="dxa"/>
              <w:bottom w:w="75" w:type="dxa"/>
              <w:right w:w="150" w:type="dxa"/>
            </w:tcMar>
            <w:vAlign w:val="top"/>
          </w:tcPr>
          <w:p w14:paraId="42886CC4">
            <w:pPr>
              <w:pStyle w:val="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Times New Roman" w:hAnsi="Times New Roman" w:eastAsia="仿宋" w:cs="Times New Roman"/>
                <w:b/>
                <w:bCs/>
                <w:color w:val="auto"/>
                <w:kern w:val="2"/>
                <w:sz w:val="32"/>
                <w:szCs w:val="32"/>
                <w:lang w:val="en-US" w:eastAsia="zh-CN" w:bidi="ar-SA"/>
              </w:rPr>
            </w:pPr>
            <w:r>
              <w:rPr>
                <w:rFonts w:hint="default" w:ascii="Times New Roman" w:hAnsi="Times New Roman" w:eastAsia="仿宋" w:cs="Times New Roman"/>
                <w:b/>
                <w:bCs/>
                <w:color w:val="auto"/>
                <w:kern w:val="2"/>
                <w:sz w:val="32"/>
                <w:szCs w:val="32"/>
                <w:lang w:val="en-US" w:eastAsia="zh-CN" w:bidi="ar-SA"/>
              </w:rPr>
              <w:t>粘贴委托代理人身份证明（影印件或影印件正、反两面）</w:t>
            </w:r>
          </w:p>
        </w:tc>
      </w:tr>
    </w:tbl>
    <w:p w14:paraId="794781C8">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eastAsia="仿宋" w:cs="Times New Roman"/>
          <w:b/>
          <w:bCs/>
          <w:color w:val="auto"/>
          <w:kern w:val="2"/>
          <w:sz w:val="32"/>
          <w:szCs w:val="32"/>
          <w:lang w:val="en-US" w:eastAsia="zh-CN" w:bidi="ar-SA"/>
        </w:rPr>
      </w:pPr>
      <w:r>
        <w:rPr>
          <w:rFonts w:hint="default" w:ascii="Times New Roman" w:hAnsi="Times New Roman" w:eastAsia="仿宋" w:cs="Times New Roman"/>
          <w:b/>
          <w:bCs/>
          <w:color w:val="auto"/>
          <w:kern w:val="2"/>
          <w:sz w:val="32"/>
          <w:szCs w:val="32"/>
          <w:lang w:val="en-US" w:eastAsia="zh-CN" w:bidi="ar-SA"/>
        </w:rPr>
        <w:t>备注：若法定代表人/企业负责人亲自来参与响应则不需此件，仅需提供法定代表人/企业负责人证书或证明及本人身份证〔资格证明文件中法定代表人/企业负责人证书及本人身份证均放复印件（或影印件）并加盖单位公章及法人章/企业负责人章（鲜章）〕。</w:t>
      </w:r>
    </w:p>
    <w:p w14:paraId="59648D5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bCs/>
          <w:color w:val="auto"/>
          <w:sz w:val="44"/>
          <w:szCs w:val="44"/>
          <w:lang w:val="en-US" w:eastAsia="zh-CN"/>
        </w:rPr>
        <w:sectPr>
          <w:pgSz w:w="11906" w:h="16838"/>
          <w:pgMar w:top="1134" w:right="1134" w:bottom="1134" w:left="1134" w:header="851" w:footer="992" w:gutter="0"/>
          <w:pgNumType w:fmt="decimal"/>
          <w:cols w:space="720" w:num="1"/>
          <w:rtlGutter w:val="0"/>
          <w:docGrid w:type="lines" w:linePitch="321" w:charSpace="0"/>
        </w:sectPr>
      </w:pPr>
    </w:p>
    <w:p w14:paraId="4DDA724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小标宋简体" w:hAnsi="方正小标宋简体" w:eastAsia="方正小标宋简体" w:cs="方正小标宋简体"/>
          <w:b/>
          <w:bCs/>
          <w:color w:val="auto"/>
          <w:sz w:val="44"/>
          <w:szCs w:val="44"/>
          <w:lang w:val="en-US" w:eastAsia="zh-CN"/>
        </w:rPr>
        <w:sectPr>
          <w:pgSz w:w="11906" w:h="16838"/>
          <w:pgMar w:top="1134" w:right="1134" w:bottom="1134" w:left="1134" w:header="851" w:footer="992" w:gutter="0"/>
          <w:pgNumType w:fmt="decimal"/>
          <w:cols w:space="720" w:num="1"/>
          <w:rtlGutter w:val="0"/>
          <w:docGrid w:type="lines" w:linePitch="321" w:charSpace="0"/>
        </w:sectPr>
      </w:pPr>
      <w:r>
        <w:rPr>
          <w:rFonts w:hint="eastAsia" w:ascii="方正小标宋简体" w:hAnsi="方正小标宋简体" w:eastAsia="方正小标宋简体" w:cs="方正小标宋简体"/>
          <w:b/>
          <w:bCs/>
          <w:color w:val="auto"/>
          <w:sz w:val="44"/>
          <w:szCs w:val="44"/>
          <w:lang w:val="en-US" w:eastAsia="zh-CN"/>
        </w:rPr>
        <w:t>三、营业执照</w:t>
      </w:r>
    </w:p>
    <w:p w14:paraId="3534236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bCs/>
          <w:color w:val="auto"/>
          <w:sz w:val="44"/>
          <w:szCs w:val="44"/>
          <w:lang w:val="en-US" w:eastAsia="zh-CN"/>
        </w:rPr>
      </w:pPr>
      <w:r>
        <w:rPr>
          <w:rFonts w:hint="eastAsia" w:ascii="方正小标宋简体" w:hAnsi="方正小标宋简体" w:eastAsia="方正小标宋简体" w:cs="方正小标宋简体"/>
          <w:b/>
          <w:bCs/>
          <w:color w:val="auto"/>
          <w:sz w:val="44"/>
          <w:szCs w:val="44"/>
          <w:lang w:val="en-US" w:eastAsia="zh-CN"/>
        </w:rPr>
        <w:t>四、报价表</w:t>
      </w:r>
    </w:p>
    <w:p w14:paraId="14D4052E">
      <w:pPr>
        <w:pStyle w:val="13"/>
        <w:rPr>
          <w:rFonts w:hint="default" w:ascii="Times New Roman" w:hAnsi="Times New Roman" w:eastAsia="仿宋_GB2312" w:cs="Times New Roman"/>
          <w:b/>
          <w:bCs/>
          <w:color w:val="auto"/>
          <w:kern w:val="2"/>
          <w:sz w:val="32"/>
          <w:szCs w:val="32"/>
          <w:lang w:val="en-US" w:eastAsia="zh-CN" w:bidi="ar-SA"/>
        </w:rPr>
      </w:pPr>
    </w:p>
    <w:p w14:paraId="31B9C02F">
      <w:pPr>
        <w:pStyle w:val="13"/>
        <w:rPr>
          <w:rFonts w:hint="default" w:ascii="Times New Roman" w:hAnsi="Times New Roman" w:eastAsia="仿宋_GB2312" w:cs="Times New Roman"/>
          <w:b/>
          <w:bCs/>
          <w:color w:val="auto"/>
          <w:kern w:val="2"/>
          <w:sz w:val="32"/>
          <w:szCs w:val="32"/>
          <w:lang w:val="en-US" w:eastAsia="zh-CN" w:bidi="ar-SA"/>
        </w:rPr>
      </w:pPr>
      <w:r>
        <w:rPr>
          <w:rFonts w:hint="default" w:ascii="Times New Roman" w:hAnsi="Times New Roman" w:eastAsia="仿宋_GB2312" w:cs="Times New Roman"/>
          <w:b/>
          <w:bCs/>
          <w:color w:val="auto"/>
          <w:kern w:val="2"/>
          <w:sz w:val="32"/>
          <w:szCs w:val="32"/>
          <w:lang w:val="en-US" w:eastAsia="zh-CN" w:bidi="ar-SA"/>
        </w:rPr>
        <w:t>项目名称：</w:t>
      </w:r>
      <w:r>
        <w:rPr>
          <w:rFonts w:hint="eastAsia" w:ascii="Times New Roman" w:hAnsi="Times New Roman" w:eastAsia="仿宋_GB2312" w:cs="Times New Roman"/>
          <w:b/>
          <w:bCs/>
          <w:color w:val="auto"/>
          <w:kern w:val="2"/>
          <w:sz w:val="32"/>
          <w:szCs w:val="32"/>
          <w:u w:val="single"/>
          <w:lang w:val="en-US" w:eastAsia="zh-CN" w:bidi="ar-SA"/>
        </w:rPr>
        <w:t>保安公司</w:t>
      </w:r>
      <w:r>
        <w:rPr>
          <w:rFonts w:hint="eastAsia" w:ascii="Times New Roman" w:hAnsi="Times New Roman" w:eastAsia="仿宋" w:cs="Times New Roman"/>
          <w:b/>
          <w:bCs/>
          <w:color w:val="auto"/>
          <w:sz w:val="32"/>
          <w:szCs w:val="32"/>
          <w:u w:val="single"/>
          <w:lang w:val="en-US" w:eastAsia="zh-CN"/>
        </w:rPr>
        <w:t>项目协同综合管理系统采购项目</w:t>
      </w:r>
    </w:p>
    <w:tbl>
      <w:tblPr>
        <w:tblStyle w:val="10"/>
        <w:tblW w:w="974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93"/>
        <w:gridCol w:w="2514"/>
        <w:gridCol w:w="956"/>
        <w:gridCol w:w="1327"/>
        <w:gridCol w:w="1104"/>
        <w:gridCol w:w="1105"/>
        <w:gridCol w:w="1549"/>
      </w:tblGrid>
      <w:tr w14:paraId="697A61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93" w:type="dxa"/>
            <w:tcBorders>
              <w:top w:val="single" w:color="auto" w:sz="4" w:space="0"/>
              <w:left w:val="single" w:color="auto" w:sz="4" w:space="0"/>
              <w:bottom w:val="single" w:color="auto" w:sz="4" w:space="0"/>
              <w:right w:val="single" w:color="auto" w:sz="4" w:space="0"/>
            </w:tcBorders>
            <w:noWrap w:val="0"/>
            <w:vAlign w:val="top"/>
          </w:tcPr>
          <w:p w14:paraId="536C1D3A">
            <w:pPr>
              <w:keepNext w:val="0"/>
              <w:keepLines w:val="0"/>
              <w:widowControl/>
              <w:suppressLineNumbers w:val="0"/>
              <w:ind w:left="0" w:leftChars="0" w:right="0" w:rightChars="0" w:firstLine="0" w:firstLineChars="0"/>
              <w:jc w:val="center"/>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序号</w:t>
            </w:r>
          </w:p>
        </w:tc>
        <w:tc>
          <w:tcPr>
            <w:tcW w:w="2514" w:type="dxa"/>
            <w:tcBorders>
              <w:top w:val="single" w:color="auto" w:sz="4" w:space="0"/>
              <w:left w:val="single" w:color="auto" w:sz="4" w:space="0"/>
              <w:bottom w:val="single" w:color="auto" w:sz="4" w:space="0"/>
              <w:right w:val="single" w:color="auto" w:sz="4" w:space="0"/>
            </w:tcBorders>
            <w:noWrap w:val="0"/>
            <w:vAlign w:val="top"/>
          </w:tcPr>
          <w:p w14:paraId="5AC67CE2">
            <w:pPr>
              <w:keepNext w:val="0"/>
              <w:keepLines w:val="0"/>
              <w:widowControl/>
              <w:suppressLineNumbers w:val="0"/>
              <w:ind w:left="0" w:leftChars="0" w:right="0" w:rightChars="0" w:firstLine="0" w:firstLineChars="0"/>
              <w:jc w:val="center"/>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模块名称</w:t>
            </w:r>
          </w:p>
        </w:tc>
        <w:tc>
          <w:tcPr>
            <w:tcW w:w="956" w:type="dxa"/>
            <w:tcBorders>
              <w:top w:val="single" w:color="auto" w:sz="4" w:space="0"/>
              <w:left w:val="single" w:color="auto" w:sz="4" w:space="0"/>
              <w:bottom w:val="single" w:color="auto" w:sz="4" w:space="0"/>
              <w:right w:val="single" w:color="auto" w:sz="4" w:space="0"/>
            </w:tcBorders>
            <w:noWrap w:val="0"/>
            <w:vAlign w:val="top"/>
          </w:tcPr>
          <w:p w14:paraId="650BAED0">
            <w:pPr>
              <w:keepNext w:val="0"/>
              <w:keepLines w:val="0"/>
              <w:widowControl/>
              <w:suppressLineNumbers w:val="0"/>
              <w:ind w:left="0" w:leftChars="0" w:right="0" w:rightChars="0" w:firstLine="0" w:firstLineChars="0"/>
              <w:jc w:val="center"/>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数量</w:t>
            </w:r>
          </w:p>
        </w:tc>
        <w:tc>
          <w:tcPr>
            <w:tcW w:w="1327" w:type="dxa"/>
            <w:tcBorders>
              <w:top w:val="single" w:color="auto" w:sz="4" w:space="0"/>
              <w:left w:val="single" w:color="auto" w:sz="4" w:space="0"/>
              <w:bottom w:val="single" w:color="auto" w:sz="4" w:space="0"/>
              <w:right w:val="single" w:color="auto" w:sz="4" w:space="0"/>
            </w:tcBorders>
            <w:noWrap w:val="0"/>
            <w:vAlign w:val="top"/>
          </w:tcPr>
          <w:p w14:paraId="42EFFA07">
            <w:pPr>
              <w:keepNext w:val="0"/>
              <w:keepLines w:val="0"/>
              <w:widowControl/>
              <w:suppressLineNumbers w:val="0"/>
              <w:ind w:left="0" w:leftChars="0" w:right="0" w:rightChars="0" w:firstLine="0" w:firstLineChars="0"/>
              <w:jc w:val="center"/>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单位</w:t>
            </w:r>
          </w:p>
        </w:tc>
        <w:tc>
          <w:tcPr>
            <w:tcW w:w="1104" w:type="dxa"/>
            <w:tcBorders>
              <w:top w:val="single" w:color="auto" w:sz="4" w:space="0"/>
              <w:left w:val="single" w:color="auto" w:sz="4" w:space="0"/>
              <w:bottom w:val="single" w:color="auto" w:sz="4" w:space="0"/>
              <w:right w:val="single" w:color="auto" w:sz="4" w:space="0"/>
            </w:tcBorders>
            <w:noWrap w:val="0"/>
            <w:vAlign w:val="top"/>
          </w:tcPr>
          <w:p w14:paraId="1E0A9597">
            <w:pPr>
              <w:keepNext w:val="0"/>
              <w:keepLines w:val="0"/>
              <w:widowControl/>
              <w:suppressLineNumbers w:val="0"/>
              <w:ind w:left="0" w:leftChars="0" w:right="0" w:rightChars="0" w:firstLine="0" w:firstLineChars="0"/>
              <w:jc w:val="center"/>
              <w:textAlignment w:val="top"/>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单价</w:t>
            </w:r>
          </w:p>
        </w:tc>
        <w:tc>
          <w:tcPr>
            <w:tcW w:w="1105" w:type="dxa"/>
            <w:tcBorders>
              <w:top w:val="single" w:color="auto" w:sz="4" w:space="0"/>
              <w:left w:val="single" w:color="auto" w:sz="4" w:space="0"/>
              <w:bottom w:val="single" w:color="auto" w:sz="4" w:space="0"/>
              <w:right w:val="single" w:color="auto" w:sz="4" w:space="0"/>
            </w:tcBorders>
            <w:noWrap w:val="0"/>
            <w:vAlign w:val="top"/>
          </w:tcPr>
          <w:p w14:paraId="03084044">
            <w:pPr>
              <w:keepNext w:val="0"/>
              <w:keepLines w:val="0"/>
              <w:widowControl/>
              <w:suppressLineNumbers w:val="0"/>
              <w:ind w:left="0" w:leftChars="0" w:right="0" w:rightChars="0" w:firstLine="0" w:firstLineChars="0"/>
              <w:jc w:val="center"/>
              <w:textAlignment w:val="top"/>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小计</w:t>
            </w:r>
          </w:p>
        </w:tc>
        <w:tc>
          <w:tcPr>
            <w:tcW w:w="1549" w:type="dxa"/>
            <w:tcBorders>
              <w:top w:val="single" w:color="auto" w:sz="4" w:space="0"/>
              <w:left w:val="single" w:color="auto" w:sz="4" w:space="0"/>
              <w:bottom w:val="single" w:color="auto" w:sz="4" w:space="0"/>
              <w:right w:val="single" w:color="auto" w:sz="4" w:space="0"/>
            </w:tcBorders>
            <w:noWrap w:val="0"/>
            <w:vAlign w:val="top"/>
          </w:tcPr>
          <w:p w14:paraId="761AC355">
            <w:pPr>
              <w:keepNext w:val="0"/>
              <w:keepLines w:val="0"/>
              <w:widowControl/>
              <w:suppressLineNumbers w:val="0"/>
              <w:ind w:left="0" w:leftChars="0" w:right="0" w:rightChars="0" w:firstLine="0" w:firstLineChars="0"/>
              <w:jc w:val="center"/>
              <w:textAlignment w:val="top"/>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税率</w:t>
            </w:r>
          </w:p>
        </w:tc>
      </w:tr>
      <w:tr w14:paraId="7177C4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93" w:type="dxa"/>
            <w:tcBorders>
              <w:top w:val="single" w:color="auto" w:sz="4" w:space="0"/>
              <w:left w:val="single" w:color="auto" w:sz="4" w:space="0"/>
              <w:bottom w:val="single" w:color="auto" w:sz="4" w:space="0"/>
              <w:right w:val="single" w:color="auto" w:sz="4" w:space="0"/>
            </w:tcBorders>
            <w:noWrap/>
            <w:vAlign w:val="top"/>
          </w:tcPr>
          <w:p w14:paraId="5BF9468C">
            <w:pPr>
              <w:keepNext w:val="0"/>
              <w:keepLines w:val="0"/>
              <w:widowControl/>
              <w:suppressLineNumbers w:val="0"/>
              <w:ind w:left="0" w:leftChars="0" w:right="0" w:rightChars="0" w:firstLine="0" w:firstLineChars="0"/>
              <w:jc w:val="center"/>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514" w:type="dxa"/>
            <w:tcBorders>
              <w:top w:val="single" w:color="auto" w:sz="4" w:space="0"/>
              <w:left w:val="single" w:color="auto" w:sz="4" w:space="0"/>
              <w:bottom w:val="single" w:color="auto" w:sz="4" w:space="0"/>
              <w:right w:val="single" w:color="auto" w:sz="4" w:space="0"/>
            </w:tcBorders>
            <w:noWrap w:val="0"/>
            <w:vAlign w:val="top"/>
          </w:tcPr>
          <w:p w14:paraId="4D80EC8D">
            <w:pPr>
              <w:keepNext w:val="0"/>
              <w:keepLines w:val="0"/>
              <w:widowControl/>
              <w:suppressLineNumbers w:val="0"/>
              <w:ind w:left="0" w:leftChars="0" w:right="0" w:rightChars="0" w:firstLine="0" w:firstLineChars="0"/>
              <w:jc w:val="center"/>
              <w:textAlignment w:val="top"/>
              <w:rPr>
                <w:rFonts w:hint="default" w:ascii="宋体" w:hAnsi="宋体" w:eastAsia="宋体" w:cs="宋体"/>
                <w:i w:val="0"/>
                <w:iCs w:val="0"/>
                <w:color w:val="auto"/>
                <w:sz w:val="24"/>
                <w:szCs w:val="24"/>
                <w:u w:val="none"/>
                <w:lang w:val="en-US"/>
              </w:rPr>
            </w:pPr>
            <w:r>
              <w:rPr>
                <w:rFonts w:hint="eastAsia" w:ascii="宋体" w:hAnsi="宋体" w:eastAsia="宋体" w:cs="宋体"/>
                <w:i w:val="0"/>
                <w:iCs w:val="0"/>
                <w:color w:val="auto"/>
                <w:kern w:val="0"/>
                <w:sz w:val="24"/>
                <w:szCs w:val="24"/>
                <w:u w:val="none"/>
                <w:lang w:val="en-US" w:eastAsia="zh-CN" w:bidi="ar"/>
              </w:rPr>
              <w:t>基础平台模块</w:t>
            </w:r>
          </w:p>
        </w:tc>
        <w:tc>
          <w:tcPr>
            <w:tcW w:w="956" w:type="dxa"/>
            <w:tcBorders>
              <w:top w:val="single" w:color="auto" w:sz="4" w:space="0"/>
              <w:left w:val="single" w:color="auto" w:sz="4" w:space="0"/>
              <w:bottom w:val="single" w:color="auto" w:sz="4" w:space="0"/>
              <w:right w:val="single" w:color="auto" w:sz="4" w:space="0"/>
            </w:tcBorders>
            <w:noWrap/>
            <w:vAlign w:val="top"/>
          </w:tcPr>
          <w:p w14:paraId="3C94CBC3">
            <w:pPr>
              <w:keepNext w:val="0"/>
              <w:keepLines w:val="0"/>
              <w:widowControl/>
              <w:suppressLineNumbers w:val="0"/>
              <w:ind w:left="0" w:leftChars="0" w:right="0" w:rightChars="0" w:firstLine="0" w:firstLineChars="0"/>
              <w:jc w:val="center"/>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1327" w:type="dxa"/>
            <w:tcBorders>
              <w:top w:val="single" w:color="auto" w:sz="4" w:space="0"/>
              <w:left w:val="single" w:color="auto" w:sz="4" w:space="0"/>
              <w:bottom w:val="single" w:color="auto" w:sz="4" w:space="0"/>
              <w:right w:val="single" w:color="auto" w:sz="4" w:space="0"/>
            </w:tcBorders>
            <w:noWrap/>
            <w:vAlign w:val="top"/>
          </w:tcPr>
          <w:p w14:paraId="2990CE5F">
            <w:pPr>
              <w:keepNext w:val="0"/>
              <w:keepLines w:val="0"/>
              <w:widowControl/>
              <w:suppressLineNumbers w:val="0"/>
              <w:ind w:left="0" w:leftChars="0" w:right="0" w:rightChars="0" w:firstLine="0" w:firstLineChars="0"/>
              <w:jc w:val="center"/>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套</w:t>
            </w:r>
          </w:p>
        </w:tc>
        <w:tc>
          <w:tcPr>
            <w:tcW w:w="1104" w:type="dxa"/>
            <w:tcBorders>
              <w:top w:val="single" w:color="auto" w:sz="4" w:space="0"/>
              <w:left w:val="single" w:color="auto" w:sz="4" w:space="0"/>
              <w:bottom w:val="single" w:color="auto" w:sz="4" w:space="0"/>
              <w:right w:val="single" w:color="auto" w:sz="4" w:space="0"/>
            </w:tcBorders>
            <w:noWrap/>
            <w:vAlign w:val="top"/>
          </w:tcPr>
          <w:p w14:paraId="1ACAF055">
            <w:pPr>
              <w:keepNext w:val="0"/>
              <w:keepLines w:val="0"/>
              <w:widowControl/>
              <w:suppressLineNumbers w:val="0"/>
              <w:ind w:left="0" w:leftChars="0" w:right="0" w:rightChars="0" w:firstLine="0" w:firstLineChars="0"/>
              <w:jc w:val="center"/>
              <w:textAlignment w:val="top"/>
              <w:rPr>
                <w:rFonts w:hint="eastAsia" w:ascii="宋体" w:hAnsi="宋体" w:eastAsia="宋体" w:cs="宋体"/>
                <w:i w:val="0"/>
                <w:iCs w:val="0"/>
                <w:color w:val="auto"/>
                <w:kern w:val="0"/>
                <w:sz w:val="24"/>
                <w:szCs w:val="24"/>
                <w:u w:val="none"/>
                <w:lang w:val="en-US" w:eastAsia="zh-CN" w:bidi="ar"/>
              </w:rPr>
            </w:pPr>
          </w:p>
        </w:tc>
        <w:tc>
          <w:tcPr>
            <w:tcW w:w="1105" w:type="dxa"/>
            <w:tcBorders>
              <w:top w:val="single" w:color="auto" w:sz="4" w:space="0"/>
              <w:left w:val="single" w:color="auto" w:sz="4" w:space="0"/>
              <w:bottom w:val="single" w:color="auto" w:sz="4" w:space="0"/>
              <w:right w:val="single" w:color="auto" w:sz="4" w:space="0"/>
            </w:tcBorders>
            <w:noWrap/>
            <w:vAlign w:val="top"/>
          </w:tcPr>
          <w:p w14:paraId="258B5A9E">
            <w:pPr>
              <w:keepNext w:val="0"/>
              <w:keepLines w:val="0"/>
              <w:widowControl/>
              <w:suppressLineNumbers w:val="0"/>
              <w:ind w:left="0" w:leftChars="0" w:right="0" w:rightChars="0" w:firstLine="0" w:firstLineChars="0"/>
              <w:jc w:val="center"/>
              <w:textAlignment w:val="top"/>
              <w:rPr>
                <w:rFonts w:hint="eastAsia" w:ascii="宋体" w:hAnsi="宋体" w:eastAsia="宋体" w:cs="宋体"/>
                <w:i w:val="0"/>
                <w:iCs w:val="0"/>
                <w:color w:val="auto"/>
                <w:kern w:val="0"/>
                <w:sz w:val="24"/>
                <w:szCs w:val="24"/>
                <w:u w:val="none"/>
                <w:lang w:val="en-US" w:eastAsia="zh-CN" w:bidi="ar"/>
              </w:rPr>
            </w:pPr>
          </w:p>
        </w:tc>
        <w:tc>
          <w:tcPr>
            <w:tcW w:w="1549" w:type="dxa"/>
            <w:tcBorders>
              <w:top w:val="single" w:color="auto" w:sz="4" w:space="0"/>
              <w:left w:val="single" w:color="auto" w:sz="4" w:space="0"/>
              <w:bottom w:val="single" w:color="auto" w:sz="4" w:space="0"/>
              <w:right w:val="single" w:color="auto" w:sz="4" w:space="0"/>
            </w:tcBorders>
            <w:noWrap/>
            <w:vAlign w:val="top"/>
          </w:tcPr>
          <w:p w14:paraId="53094958">
            <w:pPr>
              <w:keepNext w:val="0"/>
              <w:keepLines w:val="0"/>
              <w:widowControl/>
              <w:suppressLineNumbers w:val="0"/>
              <w:ind w:left="0" w:leftChars="0" w:right="0" w:rightChars="0" w:firstLine="0" w:firstLineChars="0"/>
              <w:jc w:val="center"/>
              <w:textAlignment w:val="top"/>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13%</w:t>
            </w:r>
          </w:p>
        </w:tc>
      </w:tr>
      <w:tr w14:paraId="673FF9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93" w:type="dxa"/>
            <w:tcBorders>
              <w:top w:val="single" w:color="auto" w:sz="4" w:space="0"/>
              <w:left w:val="single" w:color="auto" w:sz="4" w:space="0"/>
              <w:bottom w:val="single" w:color="auto" w:sz="4" w:space="0"/>
              <w:right w:val="single" w:color="auto" w:sz="4" w:space="0"/>
            </w:tcBorders>
            <w:noWrap/>
            <w:vAlign w:val="top"/>
          </w:tcPr>
          <w:p w14:paraId="6DFE5FBF">
            <w:pPr>
              <w:keepNext w:val="0"/>
              <w:keepLines w:val="0"/>
              <w:widowControl/>
              <w:suppressLineNumbers w:val="0"/>
              <w:ind w:left="0" w:leftChars="0" w:right="0" w:rightChars="0" w:firstLine="0" w:firstLineChars="0"/>
              <w:jc w:val="center"/>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2514" w:type="dxa"/>
            <w:tcBorders>
              <w:top w:val="single" w:color="auto" w:sz="4" w:space="0"/>
              <w:left w:val="single" w:color="auto" w:sz="4" w:space="0"/>
              <w:bottom w:val="single" w:color="auto" w:sz="4" w:space="0"/>
              <w:right w:val="single" w:color="auto" w:sz="4" w:space="0"/>
            </w:tcBorders>
            <w:noWrap w:val="0"/>
            <w:vAlign w:val="top"/>
          </w:tcPr>
          <w:p w14:paraId="3867DBB7">
            <w:pPr>
              <w:keepNext w:val="0"/>
              <w:keepLines w:val="0"/>
              <w:widowControl/>
              <w:suppressLineNumbers w:val="0"/>
              <w:ind w:left="0" w:leftChars="0" w:right="0" w:rightChars="0" w:firstLine="0" w:firstLineChars="0"/>
              <w:jc w:val="center"/>
              <w:textAlignment w:val="top"/>
              <w:rPr>
                <w:rFonts w:hint="default" w:ascii="宋体" w:hAnsi="宋体" w:eastAsia="宋体" w:cs="宋体"/>
                <w:i w:val="0"/>
                <w:iCs w:val="0"/>
                <w:color w:val="auto"/>
                <w:sz w:val="24"/>
                <w:szCs w:val="24"/>
                <w:u w:val="none"/>
                <w:lang w:val="en-US"/>
              </w:rPr>
            </w:pPr>
            <w:r>
              <w:rPr>
                <w:rFonts w:hint="eastAsia" w:ascii="宋体" w:hAnsi="宋体" w:eastAsia="宋体" w:cs="宋体"/>
                <w:i w:val="0"/>
                <w:iCs w:val="0"/>
                <w:color w:val="auto"/>
                <w:kern w:val="0"/>
                <w:sz w:val="24"/>
                <w:szCs w:val="24"/>
                <w:u w:val="none"/>
                <w:lang w:val="en-US" w:eastAsia="zh-CN" w:bidi="ar"/>
              </w:rPr>
              <w:t>线索管理定制</w:t>
            </w:r>
          </w:p>
        </w:tc>
        <w:tc>
          <w:tcPr>
            <w:tcW w:w="956" w:type="dxa"/>
            <w:tcBorders>
              <w:top w:val="single" w:color="auto" w:sz="4" w:space="0"/>
              <w:left w:val="single" w:color="auto" w:sz="4" w:space="0"/>
              <w:bottom w:val="single" w:color="auto" w:sz="4" w:space="0"/>
              <w:right w:val="single" w:color="auto" w:sz="4" w:space="0"/>
            </w:tcBorders>
            <w:noWrap/>
            <w:vAlign w:val="top"/>
          </w:tcPr>
          <w:p w14:paraId="53119F8B">
            <w:pPr>
              <w:keepNext w:val="0"/>
              <w:keepLines w:val="0"/>
              <w:widowControl/>
              <w:suppressLineNumbers w:val="0"/>
              <w:ind w:left="0" w:leftChars="0" w:right="0" w:rightChars="0" w:firstLine="0" w:firstLineChars="0"/>
              <w:jc w:val="center"/>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1327" w:type="dxa"/>
            <w:tcBorders>
              <w:top w:val="single" w:color="auto" w:sz="4" w:space="0"/>
              <w:left w:val="single" w:color="auto" w:sz="4" w:space="0"/>
              <w:bottom w:val="single" w:color="auto" w:sz="4" w:space="0"/>
              <w:right w:val="single" w:color="auto" w:sz="4" w:space="0"/>
            </w:tcBorders>
            <w:noWrap/>
            <w:vAlign w:val="top"/>
          </w:tcPr>
          <w:p w14:paraId="1D0C12D7">
            <w:pPr>
              <w:keepNext w:val="0"/>
              <w:keepLines w:val="0"/>
              <w:widowControl/>
              <w:suppressLineNumbers w:val="0"/>
              <w:ind w:left="0" w:leftChars="0" w:right="0" w:rightChars="0" w:firstLine="0" w:firstLineChars="0"/>
              <w:jc w:val="center"/>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w:t>
            </w:r>
          </w:p>
        </w:tc>
        <w:tc>
          <w:tcPr>
            <w:tcW w:w="1104" w:type="dxa"/>
            <w:tcBorders>
              <w:top w:val="single" w:color="auto" w:sz="4" w:space="0"/>
              <w:left w:val="single" w:color="auto" w:sz="4" w:space="0"/>
              <w:bottom w:val="single" w:color="auto" w:sz="4" w:space="0"/>
              <w:right w:val="single" w:color="auto" w:sz="4" w:space="0"/>
            </w:tcBorders>
            <w:noWrap/>
            <w:vAlign w:val="top"/>
          </w:tcPr>
          <w:p w14:paraId="1254C45E">
            <w:pPr>
              <w:keepNext w:val="0"/>
              <w:keepLines w:val="0"/>
              <w:widowControl/>
              <w:suppressLineNumbers w:val="0"/>
              <w:ind w:left="0" w:leftChars="0" w:right="0" w:rightChars="0" w:firstLine="0" w:firstLineChars="0"/>
              <w:jc w:val="center"/>
              <w:textAlignment w:val="top"/>
              <w:rPr>
                <w:rFonts w:hint="eastAsia" w:ascii="宋体" w:hAnsi="宋体" w:eastAsia="宋体" w:cs="宋体"/>
                <w:i w:val="0"/>
                <w:iCs w:val="0"/>
                <w:color w:val="auto"/>
                <w:kern w:val="0"/>
                <w:sz w:val="24"/>
                <w:szCs w:val="24"/>
                <w:u w:val="none"/>
                <w:lang w:val="en-US" w:eastAsia="zh-CN" w:bidi="ar"/>
              </w:rPr>
            </w:pPr>
          </w:p>
        </w:tc>
        <w:tc>
          <w:tcPr>
            <w:tcW w:w="1105" w:type="dxa"/>
            <w:tcBorders>
              <w:top w:val="single" w:color="auto" w:sz="4" w:space="0"/>
              <w:left w:val="single" w:color="auto" w:sz="4" w:space="0"/>
              <w:bottom w:val="single" w:color="auto" w:sz="4" w:space="0"/>
              <w:right w:val="single" w:color="auto" w:sz="4" w:space="0"/>
            </w:tcBorders>
            <w:noWrap/>
            <w:vAlign w:val="top"/>
          </w:tcPr>
          <w:p w14:paraId="732DE259">
            <w:pPr>
              <w:keepNext w:val="0"/>
              <w:keepLines w:val="0"/>
              <w:widowControl/>
              <w:suppressLineNumbers w:val="0"/>
              <w:ind w:left="0" w:leftChars="0" w:right="0" w:rightChars="0" w:firstLine="0" w:firstLineChars="0"/>
              <w:jc w:val="center"/>
              <w:textAlignment w:val="top"/>
              <w:rPr>
                <w:rFonts w:hint="eastAsia" w:ascii="宋体" w:hAnsi="宋体" w:eastAsia="宋体" w:cs="宋体"/>
                <w:i w:val="0"/>
                <w:iCs w:val="0"/>
                <w:color w:val="auto"/>
                <w:kern w:val="0"/>
                <w:sz w:val="24"/>
                <w:szCs w:val="24"/>
                <w:u w:val="none"/>
                <w:lang w:val="en-US" w:eastAsia="zh-CN" w:bidi="ar"/>
              </w:rPr>
            </w:pPr>
          </w:p>
        </w:tc>
        <w:tc>
          <w:tcPr>
            <w:tcW w:w="1549" w:type="dxa"/>
            <w:tcBorders>
              <w:top w:val="single" w:color="auto" w:sz="4" w:space="0"/>
              <w:left w:val="single" w:color="auto" w:sz="4" w:space="0"/>
              <w:bottom w:val="single" w:color="auto" w:sz="4" w:space="0"/>
              <w:right w:val="single" w:color="auto" w:sz="4" w:space="0"/>
            </w:tcBorders>
            <w:noWrap/>
            <w:vAlign w:val="top"/>
          </w:tcPr>
          <w:p w14:paraId="3F4F5649">
            <w:pPr>
              <w:keepNext w:val="0"/>
              <w:keepLines w:val="0"/>
              <w:widowControl/>
              <w:suppressLineNumbers w:val="0"/>
              <w:ind w:left="0" w:leftChars="0" w:right="0" w:rightChars="0" w:firstLine="0" w:firstLineChars="0"/>
              <w:jc w:val="center"/>
              <w:textAlignment w:val="top"/>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6%</w:t>
            </w:r>
          </w:p>
        </w:tc>
      </w:tr>
      <w:tr w14:paraId="3303C2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93" w:type="dxa"/>
            <w:tcBorders>
              <w:top w:val="single" w:color="auto" w:sz="4" w:space="0"/>
              <w:left w:val="single" w:color="auto" w:sz="4" w:space="0"/>
              <w:bottom w:val="single" w:color="auto" w:sz="4" w:space="0"/>
              <w:right w:val="single" w:color="auto" w:sz="4" w:space="0"/>
            </w:tcBorders>
            <w:noWrap/>
            <w:vAlign w:val="top"/>
          </w:tcPr>
          <w:p w14:paraId="2CCCE249">
            <w:pPr>
              <w:keepNext w:val="0"/>
              <w:keepLines w:val="0"/>
              <w:widowControl/>
              <w:suppressLineNumbers w:val="0"/>
              <w:ind w:left="0" w:leftChars="0" w:right="0" w:rightChars="0" w:firstLine="0" w:firstLineChars="0"/>
              <w:jc w:val="center"/>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2514" w:type="dxa"/>
            <w:tcBorders>
              <w:top w:val="single" w:color="auto" w:sz="4" w:space="0"/>
              <w:left w:val="single" w:color="auto" w:sz="4" w:space="0"/>
              <w:bottom w:val="single" w:color="auto" w:sz="4" w:space="0"/>
              <w:right w:val="single" w:color="auto" w:sz="4" w:space="0"/>
            </w:tcBorders>
            <w:noWrap w:val="0"/>
            <w:vAlign w:val="top"/>
          </w:tcPr>
          <w:p w14:paraId="7E1E1B75">
            <w:pPr>
              <w:keepNext w:val="0"/>
              <w:keepLines w:val="0"/>
              <w:widowControl/>
              <w:suppressLineNumbers w:val="0"/>
              <w:ind w:left="0" w:leftChars="0" w:right="0" w:rightChars="0" w:firstLine="0" w:firstLineChars="0"/>
              <w:jc w:val="center"/>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客户管理定制</w:t>
            </w:r>
          </w:p>
        </w:tc>
        <w:tc>
          <w:tcPr>
            <w:tcW w:w="956" w:type="dxa"/>
            <w:tcBorders>
              <w:top w:val="single" w:color="auto" w:sz="4" w:space="0"/>
              <w:left w:val="single" w:color="auto" w:sz="4" w:space="0"/>
              <w:bottom w:val="single" w:color="auto" w:sz="4" w:space="0"/>
              <w:right w:val="single" w:color="auto" w:sz="4" w:space="0"/>
            </w:tcBorders>
            <w:noWrap/>
            <w:vAlign w:val="top"/>
          </w:tcPr>
          <w:p w14:paraId="337E2B1B">
            <w:pPr>
              <w:keepNext w:val="0"/>
              <w:keepLines w:val="0"/>
              <w:widowControl/>
              <w:suppressLineNumbers w:val="0"/>
              <w:ind w:left="0" w:leftChars="0" w:right="0" w:rightChars="0" w:firstLine="0" w:firstLineChars="0"/>
              <w:jc w:val="center"/>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1327" w:type="dxa"/>
            <w:tcBorders>
              <w:top w:val="single" w:color="auto" w:sz="4" w:space="0"/>
              <w:left w:val="single" w:color="auto" w:sz="4" w:space="0"/>
              <w:bottom w:val="single" w:color="auto" w:sz="4" w:space="0"/>
              <w:right w:val="single" w:color="auto" w:sz="4" w:space="0"/>
            </w:tcBorders>
            <w:noWrap/>
            <w:vAlign w:val="top"/>
          </w:tcPr>
          <w:p w14:paraId="108506B8">
            <w:pPr>
              <w:keepNext w:val="0"/>
              <w:keepLines w:val="0"/>
              <w:widowControl/>
              <w:suppressLineNumbers w:val="0"/>
              <w:ind w:left="0" w:leftChars="0" w:right="0" w:rightChars="0" w:firstLine="0" w:firstLineChars="0"/>
              <w:jc w:val="center"/>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w:t>
            </w:r>
          </w:p>
        </w:tc>
        <w:tc>
          <w:tcPr>
            <w:tcW w:w="1104" w:type="dxa"/>
            <w:tcBorders>
              <w:top w:val="single" w:color="auto" w:sz="4" w:space="0"/>
              <w:left w:val="single" w:color="auto" w:sz="4" w:space="0"/>
              <w:bottom w:val="single" w:color="auto" w:sz="4" w:space="0"/>
              <w:right w:val="single" w:color="auto" w:sz="4" w:space="0"/>
            </w:tcBorders>
            <w:noWrap/>
            <w:vAlign w:val="top"/>
          </w:tcPr>
          <w:p w14:paraId="7BF6DAB3">
            <w:pPr>
              <w:keepNext w:val="0"/>
              <w:keepLines w:val="0"/>
              <w:widowControl/>
              <w:suppressLineNumbers w:val="0"/>
              <w:ind w:left="0" w:leftChars="0" w:right="0" w:rightChars="0" w:firstLine="0" w:firstLineChars="0"/>
              <w:jc w:val="center"/>
              <w:textAlignment w:val="top"/>
              <w:rPr>
                <w:rFonts w:hint="eastAsia" w:ascii="宋体" w:hAnsi="宋体" w:eastAsia="宋体" w:cs="宋体"/>
                <w:i w:val="0"/>
                <w:iCs w:val="0"/>
                <w:color w:val="auto"/>
                <w:kern w:val="0"/>
                <w:sz w:val="24"/>
                <w:szCs w:val="24"/>
                <w:u w:val="none"/>
                <w:lang w:val="en-US" w:eastAsia="zh-CN" w:bidi="ar"/>
              </w:rPr>
            </w:pPr>
          </w:p>
        </w:tc>
        <w:tc>
          <w:tcPr>
            <w:tcW w:w="1105" w:type="dxa"/>
            <w:tcBorders>
              <w:top w:val="single" w:color="auto" w:sz="4" w:space="0"/>
              <w:left w:val="single" w:color="auto" w:sz="4" w:space="0"/>
              <w:bottom w:val="single" w:color="auto" w:sz="4" w:space="0"/>
              <w:right w:val="single" w:color="auto" w:sz="4" w:space="0"/>
            </w:tcBorders>
            <w:noWrap/>
            <w:vAlign w:val="top"/>
          </w:tcPr>
          <w:p w14:paraId="2DCB6FAF">
            <w:pPr>
              <w:keepNext w:val="0"/>
              <w:keepLines w:val="0"/>
              <w:widowControl/>
              <w:suppressLineNumbers w:val="0"/>
              <w:ind w:left="0" w:leftChars="0" w:right="0" w:rightChars="0" w:firstLine="0" w:firstLineChars="0"/>
              <w:jc w:val="center"/>
              <w:textAlignment w:val="top"/>
              <w:rPr>
                <w:rFonts w:hint="eastAsia" w:ascii="宋体" w:hAnsi="宋体" w:eastAsia="宋体" w:cs="宋体"/>
                <w:i w:val="0"/>
                <w:iCs w:val="0"/>
                <w:color w:val="auto"/>
                <w:kern w:val="0"/>
                <w:sz w:val="24"/>
                <w:szCs w:val="24"/>
                <w:u w:val="none"/>
                <w:lang w:val="en-US" w:eastAsia="zh-CN" w:bidi="ar"/>
              </w:rPr>
            </w:pPr>
          </w:p>
        </w:tc>
        <w:tc>
          <w:tcPr>
            <w:tcW w:w="1549" w:type="dxa"/>
            <w:tcBorders>
              <w:top w:val="single" w:color="auto" w:sz="4" w:space="0"/>
              <w:left w:val="single" w:color="auto" w:sz="4" w:space="0"/>
              <w:bottom w:val="single" w:color="auto" w:sz="4" w:space="0"/>
              <w:right w:val="single" w:color="auto" w:sz="4" w:space="0"/>
            </w:tcBorders>
            <w:noWrap/>
            <w:vAlign w:val="top"/>
          </w:tcPr>
          <w:p w14:paraId="6A7854CD">
            <w:pPr>
              <w:keepNext w:val="0"/>
              <w:keepLines w:val="0"/>
              <w:widowControl/>
              <w:suppressLineNumbers w:val="0"/>
              <w:ind w:left="0" w:leftChars="0" w:right="0" w:rightChars="0" w:firstLine="0" w:firstLineChars="0"/>
              <w:jc w:val="center"/>
              <w:textAlignment w:val="top"/>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6%</w:t>
            </w:r>
          </w:p>
        </w:tc>
      </w:tr>
      <w:tr w14:paraId="2F256A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93" w:type="dxa"/>
            <w:tcBorders>
              <w:top w:val="single" w:color="auto" w:sz="4" w:space="0"/>
              <w:left w:val="single" w:color="auto" w:sz="4" w:space="0"/>
              <w:bottom w:val="single" w:color="auto" w:sz="4" w:space="0"/>
              <w:right w:val="single" w:color="auto" w:sz="4" w:space="0"/>
            </w:tcBorders>
            <w:noWrap/>
            <w:vAlign w:val="top"/>
          </w:tcPr>
          <w:p w14:paraId="2B811B61">
            <w:pPr>
              <w:keepNext w:val="0"/>
              <w:keepLines w:val="0"/>
              <w:widowControl/>
              <w:suppressLineNumbers w:val="0"/>
              <w:ind w:left="0" w:leftChars="0" w:right="0" w:rightChars="0" w:firstLine="0" w:firstLineChars="0"/>
              <w:jc w:val="center"/>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w:t>
            </w:r>
          </w:p>
        </w:tc>
        <w:tc>
          <w:tcPr>
            <w:tcW w:w="2514" w:type="dxa"/>
            <w:tcBorders>
              <w:top w:val="single" w:color="auto" w:sz="4" w:space="0"/>
              <w:left w:val="single" w:color="auto" w:sz="4" w:space="0"/>
              <w:bottom w:val="single" w:color="auto" w:sz="4" w:space="0"/>
              <w:right w:val="single" w:color="auto" w:sz="4" w:space="0"/>
            </w:tcBorders>
            <w:noWrap w:val="0"/>
            <w:vAlign w:val="top"/>
          </w:tcPr>
          <w:p w14:paraId="157E38DB">
            <w:pPr>
              <w:keepNext w:val="0"/>
              <w:keepLines w:val="0"/>
              <w:widowControl/>
              <w:suppressLineNumbers w:val="0"/>
              <w:ind w:left="0" w:leftChars="0" w:right="0" w:rightChars="0" w:firstLine="0" w:firstLineChars="0"/>
              <w:jc w:val="center"/>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商机管理定制</w:t>
            </w:r>
          </w:p>
        </w:tc>
        <w:tc>
          <w:tcPr>
            <w:tcW w:w="956" w:type="dxa"/>
            <w:tcBorders>
              <w:top w:val="single" w:color="auto" w:sz="4" w:space="0"/>
              <w:left w:val="single" w:color="auto" w:sz="4" w:space="0"/>
              <w:bottom w:val="single" w:color="auto" w:sz="4" w:space="0"/>
              <w:right w:val="single" w:color="auto" w:sz="4" w:space="0"/>
            </w:tcBorders>
            <w:noWrap/>
            <w:vAlign w:val="top"/>
          </w:tcPr>
          <w:p w14:paraId="71089452">
            <w:pPr>
              <w:keepNext w:val="0"/>
              <w:keepLines w:val="0"/>
              <w:widowControl/>
              <w:suppressLineNumbers w:val="0"/>
              <w:ind w:left="0" w:leftChars="0" w:right="0" w:rightChars="0" w:firstLine="0" w:firstLineChars="0"/>
              <w:jc w:val="center"/>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1327" w:type="dxa"/>
            <w:tcBorders>
              <w:top w:val="single" w:color="auto" w:sz="4" w:space="0"/>
              <w:left w:val="single" w:color="auto" w:sz="4" w:space="0"/>
              <w:bottom w:val="single" w:color="auto" w:sz="4" w:space="0"/>
              <w:right w:val="single" w:color="auto" w:sz="4" w:space="0"/>
            </w:tcBorders>
            <w:noWrap/>
            <w:vAlign w:val="top"/>
          </w:tcPr>
          <w:p w14:paraId="6582B247">
            <w:pPr>
              <w:keepNext w:val="0"/>
              <w:keepLines w:val="0"/>
              <w:widowControl/>
              <w:suppressLineNumbers w:val="0"/>
              <w:ind w:left="0" w:leftChars="0" w:right="0" w:rightChars="0" w:firstLine="0" w:firstLineChars="0"/>
              <w:jc w:val="center"/>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w:t>
            </w:r>
          </w:p>
        </w:tc>
        <w:tc>
          <w:tcPr>
            <w:tcW w:w="1104" w:type="dxa"/>
            <w:tcBorders>
              <w:top w:val="single" w:color="auto" w:sz="4" w:space="0"/>
              <w:left w:val="single" w:color="auto" w:sz="4" w:space="0"/>
              <w:bottom w:val="single" w:color="auto" w:sz="4" w:space="0"/>
              <w:right w:val="single" w:color="auto" w:sz="4" w:space="0"/>
            </w:tcBorders>
            <w:noWrap/>
            <w:vAlign w:val="top"/>
          </w:tcPr>
          <w:p w14:paraId="679098EF">
            <w:pPr>
              <w:keepNext w:val="0"/>
              <w:keepLines w:val="0"/>
              <w:widowControl/>
              <w:suppressLineNumbers w:val="0"/>
              <w:ind w:left="0" w:leftChars="0" w:right="0" w:rightChars="0" w:firstLine="0" w:firstLineChars="0"/>
              <w:jc w:val="center"/>
              <w:textAlignment w:val="top"/>
              <w:rPr>
                <w:rFonts w:hint="eastAsia" w:ascii="宋体" w:hAnsi="宋体" w:eastAsia="宋体" w:cs="宋体"/>
                <w:i w:val="0"/>
                <w:iCs w:val="0"/>
                <w:color w:val="auto"/>
                <w:kern w:val="0"/>
                <w:sz w:val="24"/>
                <w:szCs w:val="24"/>
                <w:u w:val="none"/>
                <w:lang w:val="en-US" w:eastAsia="zh-CN" w:bidi="ar"/>
              </w:rPr>
            </w:pPr>
          </w:p>
        </w:tc>
        <w:tc>
          <w:tcPr>
            <w:tcW w:w="1105" w:type="dxa"/>
            <w:tcBorders>
              <w:top w:val="single" w:color="auto" w:sz="4" w:space="0"/>
              <w:left w:val="single" w:color="auto" w:sz="4" w:space="0"/>
              <w:bottom w:val="single" w:color="auto" w:sz="4" w:space="0"/>
              <w:right w:val="single" w:color="auto" w:sz="4" w:space="0"/>
            </w:tcBorders>
            <w:noWrap/>
            <w:vAlign w:val="top"/>
          </w:tcPr>
          <w:p w14:paraId="5F732712">
            <w:pPr>
              <w:keepNext w:val="0"/>
              <w:keepLines w:val="0"/>
              <w:widowControl/>
              <w:suppressLineNumbers w:val="0"/>
              <w:ind w:left="0" w:leftChars="0" w:right="0" w:rightChars="0" w:firstLine="0" w:firstLineChars="0"/>
              <w:jc w:val="center"/>
              <w:textAlignment w:val="top"/>
              <w:rPr>
                <w:rFonts w:hint="eastAsia" w:ascii="宋体" w:hAnsi="宋体" w:eastAsia="宋体" w:cs="宋体"/>
                <w:i w:val="0"/>
                <w:iCs w:val="0"/>
                <w:color w:val="auto"/>
                <w:kern w:val="0"/>
                <w:sz w:val="24"/>
                <w:szCs w:val="24"/>
                <w:u w:val="none"/>
                <w:lang w:val="en-US" w:eastAsia="zh-CN" w:bidi="ar"/>
              </w:rPr>
            </w:pPr>
          </w:p>
        </w:tc>
        <w:tc>
          <w:tcPr>
            <w:tcW w:w="1549" w:type="dxa"/>
            <w:tcBorders>
              <w:top w:val="single" w:color="auto" w:sz="4" w:space="0"/>
              <w:left w:val="single" w:color="auto" w:sz="4" w:space="0"/>
              <w:bottom w:val="single" w:color="auto" w:sz="4" w:space="0"/>
              <w:right w:val="single" w:color="auto" w:sz="4" w:space="0"/>
            </w:tcBorders>
            <w:noWrap/>
            <w:vAlign w:val="top"/>
          </w:tcPr>
          <w:p w14:paraId="10E060FA">
            <w:pPr>
              <w:keepNext w:val="0"/>
              <w:keepLines w:val="0"/>
              <w:widowControl/>
              <w:suppressLineNumbers w:val="0"/>
              <w:ind w:left="0" w:leftChars="0" w:right="0" w:rightChars="0" w:firstLine="0" w:firstLineChars="0"/>
              <w:jc w:val="center"/>
              <w:textAlignment w:val="top"/>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6%</w:t>
            </w:r>
          </w:p>
        </w:tc>
      </w:tr>
      <w:tr w14:paraId="2D2A76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93" w:type="dxa"/>
            <w:tcBorders>
              <w:top w:val="single" w:color="auto" w:sz="4" w:space="0"/>
              <w:left w:val="single" w:color="auto" w:sz="4" w:space="0"/>
              <w:bottom w:val="single" w:color="auto" w:sz="4" w:space="0"/>
              <w:right w:val="single" w:color="auto" w:sz="4" w:space="0"/>
            </w:tcBorders>
            <w:noWrap/>
            <w:vAlign w:val="top"/>
          </w:tcPr>
          <w:p w14:paraId="470D3AEC">
            <w:pPr>
              <w:keepNext w:val="0"/>
              <w:keepLines w:val="0"/>
              <w:widowControl/>
              <w:suppressLineNumbers w:val="0"/>
              <w:ind w:left="0" w:leftChars="0" w:right="0" w:rightChars="0" w:firstLine="0" w:firstLineChars="0"/>
              <w:jc w:val="center"/>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2514" w:type="dxa"/>
            <w:tcBorders>
              <w:top w:val="single" w:color="auto" w:sz="4" w:space="0"/>
              <w:left w:val="single" w:color="auto" w:sz="4" w:space="0"/>
              <w:bottom w:val="single" w:color="auto" w:sz="4" w:space="0"/>
              <w:right w:val="single" w:color="auto" w:sz="4" w:space="0"/>
            </w:tcBorders>
            <w:noWrap w:val="0"/>
            <w:vAlign w:val="top"/>
          </w:tcPr>
          <w:p w14:paraId="5892813C">
            <w:pPr>
              <w:keepNext w:val="0"/>
              <w:keepLines w:val="0"/>
              <w:widowControl/>
              <w:suppressLineNumbers w:val="0"/>
              <w:ind w:left="0" w:leftChars="0" w:right="0" w:rightChars="0" w:firstLine="0" w:firstLineChars="0"/>
              <w:jc w:val="center"/>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项目管理定制</w:t>
            </w:r>
          </w:p>
        </w:tc>
        <w:tc>
          <w:tcPr>
            <w:tcW w:w="956" w:type="dxa"/>
            <w:tcBorders>
              <w:top w:val="single" w:color="auto" w:sz="4" w:space="0"/>
              <w:left w:val="single" w:color="auto" w:sz="4" w:space="0"/>
              <w:bottom w:val="single" w:color="auto" w:sz="4" w:space="0"/>
              <w:right w:val="single" w:color="auto" w:sz="4" w:space="0"/>
            </w:tcBorders>
            <w:noWrap/>
            <w:vAlign w:val="top"/>
          </w:tcPr>
          <w:p w14:paraId="1C68E9FA">
            <w:pPr>
              <w:keepNext w:val="0"/>
              <w:keepLines w:val="0"/>
              <w:widowControl/>
              <w:suppressLineNumbers w:val="0"/>
              <w:ind w:left="0" w:leftChars="0" w:right="0" w:rightChars="0" w:firstLine="0" w:firstLineChars="0"/>
              <w:jc w:val="center"/>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1327" w:type="dxa"/>
            <w:tcBorders>
              <w:top w:val="single" w:color="auto" w:sz="4" w:space="0"/>
              <w:left w:val="single" w:color="auto" w:sz="4" w:space="0"/>
              <w:bottom w:val="single" w:color="auto" w:sz="4" w:space="0"/>
              <w:right w:val="single" w:color="auto" w:sz="4" w:space="0"/>
            </w:tcBorders>
            <w:noWrap/>
            <w:vAlign w:val="top"/>
          </w:tcPr>
          <w:p w14:paraId="2C8A75D7">
            <w:pPr>
              <w:keepNext w:val="0"/>
              <w:keepLines w:val="0"/>
              <w:widowControl/>
              <w:suppressLineNumbers w:val="0"/>
              <w:ind w:left="0" w:leftChars="0" w:right="0" w:rightChars="0" w:firstLine="0" w:firstLineChars="0"/>
              <w:jc w:val="center"/>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w:t>
            </w:r>
          </w:p>
        </w:tc>
        <w:tc>
          <w:tcPr>
            <w:tcW w:w="1104" w:type="dxa"/>
            <w:tcBorders>
              <w:top w:val="single" w:color="auto" w:sz="4" w:space="0"/>
              <w:left w:val="single" w:color="auto" w:sz="4" w:space="0"/>
              <w:bottom w:val="single" w:color="auto" w:sz="4" w:space="0"/>
              <w:right w:val="single" w:color="auto" w:sz="4" w:space="0"/>
            </w:tcBorders>
            <w:noWrap/>
            <w:vAlign w:val="top"/>
          </w:tcPr>
          <w:p w14:paraId="146261B7">
            <w:pPr>
              <w:keepNext w:val="0"/>
              <w:keepLines w:val="0"/>
              <w:widowControl/>
              <w:suppressLineNumbers w:val="0"/>
              <w:ind w:left="0" w:leftChars="0" w:right="0" w:rightChars="0" w:firstLine="0" w:firstLineChars="0"/>
              <w:jc w:val="center"/>
              <w:textAlignment w:val="top"/>
              <w:rPr>
                <w:rFonts w:hint="eastAsia" w:ascii="宋体" w:hAnsi="宋体" w:eastAsia="宋体" w:cs="宋体"/>
                <w:i w:val="0"/>
                <w:iCs w:val="0"/>
                <w:color w:val="auto"/>
                <w:kern w:val="0"/>
                <w:sz w:val="24"/>
                <w:szCs w:val="24"/>
                <w:u w:val="none"/>
                <w:lang w:val="en-US" w:eastAsia="zh-CN" w:bidi="ar"/>
              </w:rPr>
            </w:pPr>
          </w:p>
        </w:tc>
        <w:tc>
          <w:tcPr>
            <w:tcW w:w="1105" w:type="dxa"/>
            <w:tcBorders>
              <w:top w:val="single" w:color="auto" w:sz="4" w:space="0"/>
              <w:left w:val="single" w:color="auto" w:sz="4" w:space="0"/>
              <w:bottom w:val="single" w:color="auto" w:sz="4" w:space="0"/>
              <w:right w:val="single" w:color="auto" w:sz="4" w:space="0"/>
            </w:tcBorders>
            <w:noWrap/>
            <w:vAlign w:val="top"/>
          </w:tcPr>
          <w:p w14:paraId="46DD4F7C">
            <w:pPr>
              <w:keepNext w:val="0"/>
              <w:keepLines w:val="0"/>
              <w:widowControl/>
              <w:suppressLineNumbers w:val="0"/>
              <w:ind w:left="0" w:leftChars="0" w:right="0" w:rightChars="0" w:firstLine="0" w:firstLineChars="0"/>
              <w:jc w:val="center"/>
              <w:textAlignment w:val="top"/>
              <w:rPr>
                <w:rFonts w:hint="eastAsia" w:ascii="宋体" w:hAnsi="宋体" w:eastAsia="宋体" w:cs="宋体"/>
                <w:i w:val="0"/>
                <w:iCs w:val="0"/>
                <w:color w:val="auto"/>
                <w:kern w:val="0"/>
                <w:sz w:val="24"/>
                <w:szCs w:val="24"/>
                <w:u w:val="none"/>
                <w:lang w:val="en-US" w:eastAsia="zh-CN" w:bidi="ar"/>
              </w:rPr>
            </w:pPr>
          </w:p>
        </w:tc>
        <w:tc>
          <w:tcPr>
            <w:tcW w:w="1549" w:type="dxa"/>
            <w:tcBorders>
              <w:top w:val="single" w:color="auto" w:sz="4" w:space="0"/>
              <w:left w:val="single" w:color="auto" w:sz="4" w:space="0"/>
              <w:bottom w:val="single" w:color="auto" w:sz="4" w:space="0"/>
              <w:right w:val="single" w:color="auto" w:sz="4" w:space="0"/>
            </w:tcBorders>
            <w:noWrap/>
            <w:vAlign w:val="top"/>
          </w:tcPr>
          <w:p w14:paraId="1402FA76">
            <w:pPr>
              <w:keepNext w:val="0"/>
              <w:keepLines w:val="0"/>
              <w:widowControl/>
              <w:suppressLineNumbers w:val="0"/>
              <w:ind w:left="0" w:leftChars="0" w:right="0" w:rightChars="0" w:firstLine="0" w:firstLineChars="0"/>
              <w:jc w:val="center"/>
              <w:textAlignment w:val="top"/>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6%</w:t>
            </w:r>
          </w:p>
        </w:tc>
      </w:tr>
      <w:tr w14:paraId="12D995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93" w:type="dxa"/>
            <w:tcBorders>
              <w:top w:val="single" w:color="auto" w:sz="4" w:space="0"/>
              <w:left w:val="single" w:color="auto" w:sz="4" w:space="0"/>
              <w:bottom w:val="single" w:color="auto" w:sz="4" w:space="0"/>
              <w:right w:val="single" w:color="auto" w:sz="4" w:space="0"/>
            </w:tcBorders>
            <w:noWrap/>
            <w:vAlign w:val="top"/>
          </w:tcPr>
          <w:p w14:paraId="5AE6A968">
            <w:pPr>
              <w:keepNext w:val="0"/>
              <w:keepLines w:val="0"/>
              <w:widowControl/>
              <w:suppressLineNumbers w:val="0"/>
              <w:ind w:left="0" w:leftChars="0" w:right="0" w:rightChars="0" w:firstLine="0" w:firstLineChars="0"/>
              <w:jc w:val="center"/>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w:t>
            </w:r>
          </w:p>
        </w:tc>
        <w:tc>
          <w:tcPr>
            <w:tcW w:w="2514" w:type="dxa"/>
            <w:tcBorders>
              <w:top w:val="single" w:color="auto" w:sz="4" w:space="0"/>
              <w:left w:val="single" w:color="auto" w:sz="4" w:space="0"/>
              <w:bottom w:val="single" w:color="auto" w:sz="4" w:space="0"/>
              <w:right w:val="single" w:color="auto" w:sz="4" w:space="0"/>
            </w:tcBorders>
            <w:noWrap w:val="0"/>
            <w:vAlign w:val="top"/>
          </w:tcPr>
          <w:p w14:paraId="707F5DD7">
            <w:pPr>
              <w:keepNext w:val="0"/>
              <w:keepLines w:val="0"/>
              <w:widowControl/>
              <w:suppressLineNumbers w:val="0"/>
              <w:ind w:left="0" w:leftChars="0" w:right="0" w:rightChars="0" w:firstLine="0" w:firstLineChars="0"/>
              <w:jc w:val="center"/>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合同管理定制</w:t>
            </w:r>
          </w:p>
        </w:tc>
        <w:tc>
          <w:tcPr>
            <w:tcW w:w="956" w:type="dxa"/>
            <w:tcBorders>
              <w:top w:val="single" w:color="auto" w:sz="4" w:space="0"/>
              <w:left w:val="single" w:color="auto" w:sz="4" w:space="0"/>
              <w:bottom w:val="single" w:color="auto" w:sz="4" w:space="0"/>
              <w:right w:val="single" w:color="auto" w:sz="4" w:space="0"/>
            </w:tcBorders>
            <w:noWrap/>
            <w:vAlign w:val="top"/>
          </w:tcPr>
          <w:p w14:paraId="570FC9CD">
            <w:pPr>
              <w:keepNext w:val="0"/>
              <w:keepLines w:val="0"/>
              <w:widowControl/>
              <w:suppressLineNumbers w:val="0"/>
              <w:ind w:left="0" w:leftChars="0" w:right="0" w:rightChars="0" w:firstLine="0" w:firstLineChars="0"/>
              <w:jc w:val="center"/>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1327" w:type="dxa"/>
            <w:tcBorders>
              <w:top w:val="single" w:color="auto" w:sz="4" w:space="0"/>
              <w:left w:val="single" w:color="auto" w:sz="4" w:space="0"/>
              <w:bottom w:val="single" w:color="auto" w:sz="4" w:space="0"/>
              <w:right w:val="single" w:color="auto" w:sz="4" w:space="0"/>
            </w:tcBorders>
            <w:noWrap/>
            <w:vAlign w:val="top"/>
          </w:tcPr>
          <w:p w14:paraId="50F56075">
            <w:pPr>
              <w:keepNext w:val="0"/>
              <w:keepLines w:val="0"/>
              <w:widowControl/>
              <w:suppressLineNumbers w:val="0"/>
              <w:ind w:left="0" w:leftChars="0" w:right="0" w:rightChars="0" w:firstLine="0" w:firstLineChars="0"/>
              <w:jc w:val="center"/>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w:t>
            </w:r>
          </w:p>
        </w:tc>
        <w:tc>
          <w:tcPr>
            <w:tcW w:w="1104" w:type="dxa"/>
            <w:tcBorders>
              <w:top w:val="single" w:color="auto" w:sz="4" w:space="0"/>
              <w:left w:val="single" w:color="auto" w:sz="4" w:space="0"/>
              <w:bottom w:val="single" w:color="auto" w:sz="4" w:space="0"/>
              <w:right w:val="single" w:color="auto" w:sz="4" w:space="0"/>
            </w:tcBorders>
            <w:noWrap/>
            <w:vAlign w:val="top"/>
          </w:tcPr>
          <w:p w14:paraId="30F39EB0">
            <w:pPr>
              <w:keepNext w:val="0"/>
              <w:keepLines w:val="0"/>
              <w:widowControl/>
              <w:suppressLineNumbers w:val="0"/>
              <w:ind w:left="0" w:leftChars="0" w:right="0" w:rightChars="0" w:firstLine="0" w:firstLineChars="0"/>
              <w:jc w:val="center"/>
              <w:textAlignment w:val="top"/>
              <w:rPr>
                <w:rFonts w:hint="eastAsia" w:ascii="宋体" w:hAnsi="宋体" w:eastAsia="宋体" w:cs="宋体"/>
                <w:i w:val="0"/>
                <w:iCs w:val="0"/>
                <w:color w:val="auto"/>
                <w:kern w:val="0"/>
                <w:sz w:val="24"/>
                <w:szCs w:val="24"/>
                <w:u w:val="none"/>
                <w:lang w:val="en-US" w:eastAsia="zh-CN" w:bidi="ar"/>
              </w:rPr>
            </w:pPr>
          </w:p>
        </w:tc>
        <w:tc>
          <w:tcPr>
            <w:tcW w:w="1105" w:type="dxa"/>
            <w:tcBorders>
              <w:top w:val="single" w:color="auto" w:sz="4" w:space="0"/>
              <w:left w:val="single" w:color="auto" w:sz="4" w:space="0"/>
              <w:bottom w:val="single" w:color="auto" w:sz="4" w:space="0"/>
              <w:right w:val="single" w:color="auto" w:sz="4" w:space="0"/>
            </w:tcBorders>
            <w:noWrap/>
            <w:vAlign w:val="top"/>
          </w:tcPr>
          <w:p w14:paraId="661582A7">
            <w:pPr>
              <w:keepNext w:val="0"/>
              <w:keepLines w:val="0"/>
              <w:widowControl/>
              <w:suppressLineNumbers w:val="0"/>
              <w:ind w:left="0" w:leftChars="0" w:right="0" w:rightChars="0" w:firstLine="0" w:firstLineChars="0"/>
              <w:jc w:val="center"/>
              <w:textAlignment w:val="top"/>
              <w:rPr>
                <w:rFonts w:hint="eastAsia" w:ascii="宋体" w:hAnsi="宋体" w:eastAsia="宋体" w:cs="宋体"/>
                <w:i w:val="0"/>
                <w:iCs w:val="0"/>
                <w:color w:val="auto"/>
                <w:kern w:val="0"/>
                <w:sz w:val="24"/>
                <w:szCs w:val="24"/>
                <w:u w:val="none"/>
                <w:lang w:val="en-US" w:eastAsia="zh-CN" w:bidi="ar"/>
              </w:rPr>
            </w:pPr>
          </w:p>
        </w:tc>
        <w:tc>
          <w:tcPr>
            <w:tcW w:w="1549" w:type="dxa"/>
            <w:tcBorders>
              <w:top w:val="single" w:color="auto" w:sz="4" w:space="0"/>
              <w:left w:val="single" w:color="auto" w:sz="4" w:space="0"/>
              <w:bottom w:val="single" w:color="auto" w:sz="4" w:space="0"/>
              <w:right w:val="single" w:color="auto" w:sz="4" w:space="0"/>
            </w:tcBorders>
            <w:noWrap/>
            <w:vAlign w:val="top"/>
          </w:tcPr>
          <w:p w14:paraId="0B29D6B5">
            <w:pPr>
              <w:keepNext w:val="0"/>
              <w:keepLines w:val="0"/>
              <w:widowControl/>
              <w:suppressLineNumbers w:val="0"/>
              <w:ind w:left="0" w:leftChars="0" w:right="0" w:rightChars="0" w:firstLine="0" w:firstLineChars="0"/>
              <w:jc w:val="center"/>
              <w:textAlignment w:val="top"/>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6%</w:t>
            </w:r>
          </w:p>
        </w:tc>
      </w:tr>
      <w:tr w14:paraId="22D68C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93" w:type="dxa"/>
            <w:tcBorders>
              <w:top w:val="single" w:color="auto" w:sz="4" w:space="0"/>
              <w:left w:val="single" w:color="auto" w:sz="4" w:space="0"/>
              <w:bottom w:val="single" w:color="auto" w:sz="4" w:space="0"/>
              <w:right w:val="single" w:color="auto" w:sz="4" w:space="0"/>
            </w:tcBorders>
            <w:noWrap/>
            <w:vAlign w:val="top"/>
          </w:tcPr>
          <w:p w14:paraId="2D3B07EB">
            <w:pPr>
              <w:keepNext w:val="0"/>
              <w:keepLines w:val="0"/>
              <w:widowControl/>
              <w:suppressLineNumbers w:val="0"/>
              <w:ind w:left="0" w:leftChars="0" w:right="0" w:rightChars="0" w:firstLine="0" w:firstLineChars="0"/>
              <w:jc w:val="center"/>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w:t>
            </w:r>
          </w:p>
        </w:tc>
        <w:tc>
          <w:tcPr>
            <w:tcW w:w="2514" w:type="dxa"/>
            <w:tcBorders>
              <w:top w:val="single" w:color="auto" w:sz="4" w:space="0"/>
              <w:left w:val="single" w:color="auto" w:sz="4" w:space="0"/>
              <w:bottom w:val="single" w:color="auto" w:sz="4" w:space="0"/>
              <w:right w:val="single" w:color="auto" w:sz="4" w:space="0"/>
            </w:tcBorders>
            <w:noWrap w:val="0"/>
            <w:vAlign w:val="top"/>
          </w:tcPr>
          <w:p w14:paraId="4F08375B">
            <w:pPr>
              <w:keepNext w:val="0"/>
              <w:keepLines w:val="0"/>
              <w:widowControl/>
              <w:suppressLineNumbers w:val="0"/>
              <w:ind w:left="0" w:leftChars="0" w:right="0" w:rightChars="0" w:firstLine="0" w:firstLineChars="0"/>
              <w:jc w:val="center"/>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财务管理定制</w:t>
            </w:r>
          </w:p>
        </w:tc>
        <w:tc>
          <w:tcPr>
            <w:tcW w:w="956" w:type="dxa"/>
            <w:tcBorders>
              <w:top w:val="single" w:color="auto" w:sz="4" w:space="0"/>
              <w:left w:val="single" w:color="auto" w:sz="4" w:space="0"/>
              <w:bottom w:val="single" w:color="auto" w:sz="4" w:space="0"/>
              <w:right w:val="single" w:color="auto" w:sz="4" w:space="0"/>
            </w:tcBorders>
            <w:noWrap/>
            <w:vAlign w:val="top"/>
          </w:tcPr>
          <w:p w14:paraId="63753D9C">
            <w:pPr>
              <w:keepNext w:val="0"/>
              <w:keepLines w:val="0"/>
              <w:widowControl/>
              <w:suppressLineNumbers w:val="0"/>
              <w:ind w:left="0" w:leftChars="0" w:right="0" w:rightChars="0" w:firstLine="0" w:firstLineChars="0"/>
              <w:jc w:val="center"/>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1327" w:type="dxa"/>
            <w:tcBorders>
              <w:top w:val="single" w:color="auto" w:sz="4" w:space="0"/>
              <w:left w:val="single" w:color="auto" w:sz="4" w:space="0"/>
              <w:bottom w:val="single" w:color="auto" w:sz="4" w:space="0"/>
              <w:right w:val="single" w:color="auto" w:sz="4" w:space="0"/>
            </w:tcBorders>
            <w:noWrap/>
            <w:vAlign w:val="top"/>
          </w:tcPr>
          <w:p w14:paraId="108B8C46">
            <w:pPr>
              <w:keepNext w:val="0"/>
              <w:keepLines w:val="0"/>
              <w:widowControl/>
              <w:suppressLineNumbers w:val="0"/>
              <w:ind w:left="0" w:leftChars="0" w:right="0" w:rightChars="0" w:firstLine="0" w:firstLineChars="0"/>
              <w:jc w:val="center"/>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w:t>
            </w:r>
          </w:p>
        </w:tc>
        <w:tc>
          <w:tcPr>
            <w:tcW w:w="1104" w:type="dxa"/>
            <w:tcBorders>
              <w:top w:val="single" w:color="auto" w:sz="4" w:space="0"/>
              <w:left w:val="single" w:color="auto" w:sz="4" w:space="0"/>
              <w:bottom w:val="single" w:color="auto" w:sz="4" w:space="0"/>
              <w:right w:val="single" w:color="auto" w:sz="4" w:space="0"/>
            </w:tcBorders>
            <w:noWrap/>
            <w:vAlign w:val="top"/>
          </w:tcPr>
          <w:p w14:paraId="26937294">
            <w:pPr>
              <w:keepNext w:val="0"/>
              <w:keepLines w:val="0"/>
              <w:widowControl/>
              <w:suppressLineNumbers w:val="0"/>
              <w:ind w:left="0" w:leftChars="0" w:right="0" w:rightChars="0" w:firstLine="0" w:firstLineChars="0"/>
              <w:jc w:val="center"/>
              <w:textAlignment w:val="top"/>
              <w:rPr>
                <w:rFonts w:hint="eastAsia" w:ascii="宋体" w:hAnsi="宋体" w:eastAsia="宋体" w:cs="宋体"/>
                <w:i w:val="0"/>
                <w:iCs w:val="0"/>
                <w:color w:val="auto"/>
                <w:kern w:val="0"/>
                <w:sz w:val="24"/>
                <w:szCs w:val="24"/>
                <w:u w:val="none"/>
                <w:lang w:val="en-US" w:eastAsia="zh-CN" w:bidi="ar"/>
              </w:rPr>
            </w:pPr>
          </w:p>
        </w:tc>
        <w:tc>
          <w:tcPr>
            <w:tcW w:w="1105" w:type="dxa"/>
            <w:tcBorders>
              <w:top w:val="single" w:color="auto" w:sz="4" w:space="0"/>
              <w:left w:val="single" w:color="auto" w:sz="4" w:space="0"/>
              <w:bottom w:val="single" w:color="auto" w:sz="4" w:space="0"/>
              <w:right w:val="single" w:color="auto" w:sz="4" w:space="0"/>
            </w:tcBorders>
            <w:noWrap/>
            <w:vAlign w:val="top"/>
          </w:tcPr>
          <w:p w14:paraId="18F63998">
            <w:pPr>
              <w:keepNext w:val="0"/>
              <w:keepLines w:val="0"/>
              <w:widowControl/>
              <w:suppressLineNumbers w:val="0"/>
              <w:ind w:left="0" w:leftChars="0" w:right="0" w:rightChars="0" w:firstLine="0" w:firstLineChars="0"/>
              <w:jc w:val="center"/>
              <w:textAlignment w:val="top"/>
              <w:rPr>
                <w:rFonts w:hint="eastAsia" w:ascii="宋体" w:hAnsi="宋体" w:eastAsia="宋体" w:cs="宋体"/>
                <w:i w:val="0"/>
                <w:iCs w:val="0"/>
                <w:color w:val="auto"/>
                <w:kern w:val="0"/>
                <w:sz w:val="24"/>
                <w:szCs w:val="24"/>
                <w:u w:val="none"/>
                <w:lang w:val="en-US" w:eastAsia="zh-CN" w:bidi="ar"/>
              </w:rPr>
            </w:pPr>
          </w:p>
        </w:tc>
        <w:tc>
          <w:tcPr>
            <w:tcW w:w="1549" w:type="dxa"/>
            <w:tcBorders>
              <w:top w:val="single" w:color="auto" w:sz="4" w:space="0"/>
              <w:left w:val="single" w:color="auto" w:sz="4" w:space="0"/>
              <w:bottom w:val="single" w:color="auto" w:sz="4" w:space="0"/>
              <w:right w:val="single" w:color="auto" w:sz="4" w:space="0"/>
            </w:tcBorders>
            <w:noWrap/>
            <w:vAlign w:val="top"/>
          </w:tcPr>
          <w:p w14:paraId="30B1DFAF">
            <w:pPr>
              <w:keepNext w:val="0"/>
              <w:keepLines w:val="0"/>
              <w:widowControl/>
              <w:suppressLineNumbers w:val="0"/>
              <w:ind w:left="0" w:leftChars="0" w:right="0" w:rightChars="0" w:firstLine="0" w:firstLineChars="0"/>
              <w:jc w:val="center"/>
              <w:textAlignment w:val="top"/>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6%</w:t>
            </w:r>
          </w:p>
        </w:tc>
      </w:tr>
      <w:tr w14:paraId="7371AF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93" w:type="dxa"/>
            <w:tcBorders>
              <w:top w:val="single" w:color="auto" w:sz="4" w:space="0"/>
              <w:left w:val="single" w:color="auto" w:sz="4" w:space="0"/>
              <w:bottom w:val="single" w:color="auto" w:sz="4" w:space="0"/>
              <w:right w:val="single" w:color="auto" w:sz="4" w:space="0"/>
            </w:tcBorders>
            <w:noWrap/>
            <w:vAlign w:val="top"/>
          </w:tcPr>
          <w:p w14:paraId="4468FB5C">
            <w:pPr>
              <w:keepNext w:val="0"/>
              <w:keepLines w:val="0"/>
              <w:widowControl/>
              <w:suppressLineNumbers w:val="0"/>
              <w:ind w:left="0" w:leftChars="0" w:right="0" w:rightChars="0" w:firstLine="0" w:firstLineChars="0"/>
              <w:jc w:val="center"/>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w:t>
            </w:r>
          </w:p>
        </w:tc>
        <w:tc>
          <w:tcPr>
            <w:tcW w:w="2514" w:type="dxa"/>
            <w:tcBorders>
              <w:top w:val="single" w:color="auto" w:sz="4" w:space="0"/>
              <w:left w:val="single" w:color="auto" w:sz="4" w:space="0"/>
              <w:bottom w:val="single" w:color="auto" w:sz="4" w:space="0"/>
              <w:right w:val="single" w:color="auto" w:sz="4" w:space="0"/>
            </w:tcBorders>
            <w:noWrap w:val="0"/>
            <w:vAlign w:val="top"/>
          </w:tcPr>
          <w:p w14:paraId="1734E199">
            <w:pPr>
              <w:keepNext w:val="0"/>
              <w:keepLines w:val="0"/>
              <w:widowControl/>
              <w:suppressLineNumbers w:val="0"/>
              <w:ind w:left="0" w:leftChars="0" w:right="0" w:rightChars="0" w:firstLine="0" w:firstLineChars="0"/>
              <w:jc w:val="center"/>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人事管理定制</w:t>
            </w:r>
          </w:p>
        </w:tc>
        <w:tc>
          <w:tcPr>
            <w:tcW w:w="956" w:type="dxa"/>
            <w:tcBorders>
              <w:top w:val="single" w:color="auto" w:sz="4" w:space="0"/>
              <w:left w:val="single" w:color="auto" w:sz="4" w:space="0"/>
              <w:bottom w:val="single" w:color="auto" w:sz="4" w:space="0"/>
              <w:right w:val="single" w:color="auto" w:sz="4" w:space="0"/>
            </w:tcBorders>
            <w:noWrap/>
            <w:vAlign w:val="top"/>
          </w:tcPr>
          <w:p w14:paraId="3E35731C">
            <w:pPr>
              <w:keepNext w:val="0"/>
              <w:keepLines w:val="0"/>
              <w:widowControl/>
              <w:suppressLineNumbers w:val="0"/>
              <w:ind w:left="0" w:leftChars="0" w:right="0" w:rightChars="0" w:firstLine="0" w:firstLineChars="0"/>
              <w:jc w:val="center"/>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1327" w:type="dxa"/>
            <w:tcBorders>
              <w:top w:val="single" w:color="auto" w:sz="4" w:space="0"/>
              <w:left w:val="single" w:color="auto" w:sz="4" w:space="0"/>
              <w:bottom w:val="single" w:color="auto" w:sz="4" w:space="0"/>
              <w:right w:val="single" w:color="auto" w:sz="4" w:space="0"/>
            </w:tcBorders>
            <w:noWrap/>
            <w:vAlign w:val="top"/>
          </w:tcPr>
          <w:p w14:paraId="76424243">
            <w:pPr>
              <w:keepNext w:val="0"/>
              <w:keepLines w:val="0"/>
              <w:widowControl/>
              <w:suppressLineNumbers w:val="0"/>
              <w:ind w:left="0" w:leftChars="0" w:right="0" w:rightChars="0" w:firstLine="0" w:firstLineChars="0"/>
              <w:jc w:val="center"/>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w:t>
            </w:r>
          </w:p>
        </w:tc>
        <w:tc>
          <w:tcPr>
            <w:tcW w:w="1104" w:type="dxa"/>
            <w:tcBorders>
              <w:top w:val="single" w:color="auto" w:sz="4" w:space="0"/>
              <w:left w:val="single" w:color="auto" w:sz="4" w:space="0"/>
              <w:bottom w:val="single" w:color="auto" w:sz="4" w:space="0"/>
              <w:right w:val="single" w:color="auto" w:sz="4" w:space="0"/>
            </w:tcBorders>
            <w:noWrap/>
            <w:vAlign w:val="top"/>
          </w:tcPr>
          <w:p w14:paraId="21BBC753">
            <w:pPr>
              <w:keepNext w:val="0"/>
              <w:keepLines w:val="0"/>
              <w:widowControl/>
              <w:suppressLineNumbers w:val="0"/>
              <w:ind w:left="0" w:leftChars="0" w:right="0" w:rightChars="0" w:firstLine="0" w:firstLineChars="0"/>
              <w:jc w:val="center"/>
              <w:textAlignment w:val="top"/>
              <w:rPr>
                <w:rFonts w:hint="eastAsia" w:ascii="宋体" w:hAnsi="宋体" w:eastAsia="宋体" w:cs="宋体"/>
                <w:i w:val="0"/>
                <w:iCs w:val="0"/>
                <w:color w:val="auto"/>
                <w:kern w:val="0"/>
                <w:sz w:val="24"/>
                <w:szCs w:val="24"/>
                <w:u w:val="none"/>
                <w:lang w:val="en-US" w:eastAsia="zh-CN" w:bidi="ar"/>
              </w:rPr>
            </w:pPr>
          </w:p>
        </w:tc>
        <w:tc>
          <w:tcPr>
            <w:tcW w:w="1105" w:type="dxa"/>
            <w:tcBorders>
              <w:top w:val="single" w:color="auto" w:sz="4" w:space="0"/>
              <w:left w:val="single" w:color="auto" w:sz="4" w:space="0"/>
              <w:bottom w:val="single" w:color="auto" w:sz="4" w:space="0"/>
              <w:right w:val="single" w:color="auto" w:sz="4" w:space="0"/>
            </w:tcBorders>
            <w:noWrap/>
            <w:vAlign w:val="top"/>
          </w:tcPr>
          <w:p w14:paraId="78B589B8">
            <w:pPr>
              <w:keepNext w:val="0"/>
              <w:keepLines w:val="0"/>
              <w:widowControl/>
              <w:suppressLineNumbers w:val="0"/>
              <w:ind w:left="0" w:leftChars="0" w:right="0" w:rightChars="0" w:firstLine="0" w:firstLineChars="0"/>
              <w:jc w:val="center"/>
              <w:textAlignment w:val="top"/>
              <w:rPr>
                <w:rFonts w:hint="eastAsia" w:ascii="宋体" w:hAnsi="宋体" w:eastAsia="宋体" w:cs="宋体"/>
                <w:i w:val="0"/>
                <w:iCs w:val="0"/>
                <w:color w:val="auto"/>
                <w:kern w:val="0"/>
                <w:sz w:val="24"/>
                <w:szCs w:val="24"/>
                <w:u w:val="none"/>
                <w:lang w:val="en-US" w:eastAsia="zh-CN" w:bidi="ar"/>
              </w:rPr>
            </w:pPr>
          </w:p>
        </w:tc>
        <w:tc>
          <w:tcPr>
            <w:tcW w:w="1549" w:type="dxa"/>
            <w:tcBorders>
              <w:top w:val="single" w:color="auto" w:sz="4" w:space="0"/>
              <w:left w:val="single" w:color="auto" w:sz="4" w:space="0"/>
              <w:bottom w:val="single" w:color="auto" w:sz="4" w:space="0"/>
              <w:right w:val="single" w:color="auto" w:sz="4" w:space="0"/>
            </w:tcBorders>
            <w:noWrap/>
            <w:vAlign w:val="top"/>
          </w:tcPr>
          <w:p w14:paraId="42279F1C">
            <w:pPr>
              <w:keepNext w:val="0"/>
              <w:keepLines w:val="0"/>
              <w:widowControl/>
              <w:suppressLineNumbers w:val="0"/>
              <w:ind w:left="0" w:leftChars="0" w:right="0" w:rightChars="0" w:firstLine="0" w:firstLineChars="0"/>
              <w:jc w:val="center"/>
              <w:textAlignment w:val="top"/>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6%</w:t>
            </w:r>
          </w:p>
        </w:tc>
      </w:tr>
      <w:tr w14:paraId="53B2DB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93" w:type="dxa"/>
            <w:tcBorders>
              <w:top w:val="single" w:color="auto" w:sz="4" w:space="0"/>
              <w:left w:val="single" w:color="auto" w:sz="4" w:space="0"/>
              <w:bottom w:val="single" w:color="auto" w:sz="4" w:space="0"/>
              <w:right w:val="single" w:color="auto" w:sz="4" w:space="0"/>
            </w:tcBorders>
            <w:noWrap/>
            <w:vAlign w:val="top"/>
          </w:tcPr>
          <w:p w14:paraId="14B7163E">
            <w:pPr>
              <w:keepNext w:val="0"/>
              <w:keepLines w:val="0"/>
              <w:widowControl/>
              <w:suppressLineNumbers w:val="0"/>
              <w:ind w:left="0" w:leftChars="0" w:right="0" w:rightChars="0" w:firstLine="0" w:firstLineChars="0"/>
              <w:jc w:val="center"/>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w:t>
            </w:r>
          </w:p>
        </w:tc>
        <w:tc>
          <w:tcPr>
            <w:tcW w:w="2514" w:type="dxa"/>
            <w:tcBorders>
              <w:top w:val="single" w:color="auto" w:sz="4" w:space="0"/>
              <w:left w:val="single" w:color="auto" w:sz="4" w:space="0"/>
              <w:bottom w:val="single" w:color="auto" w:sz="4" w:space="0"/>
              <w:right w:val="single" w:color="auto" w:sz="4" w:space="0"/>
            </w:tcBorders>
            <w:noWrap w:val="0"/>
            <w:vAlign w:val="top"/>
          </w:tcPr>
          <w:p w14:paraId="216B2796">
            <w:pPr>
              <w:keepNext w:val="0"/>
              <w:keepLines w:val="0"/>
              <w:widowControl/>
              <w:suppressLineNumbers w:val="0"/>
              <w:ind w:left="0" w:leftChars="0" w:right="0" w:rightChars="0" w:firstLine="0" w:firstLineChars="0"/>
              <w:jc w:val="center"/>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综合管理定制</w:t>
            </w:r>
          </w:p>
        </w:tc>
        <w:tc>
          <w:tcPr>
            <w:tcW w:w="956" w:type="dxa"/>
            <w:tcBorders>
              <w:top w:val="single" w:color="auto" w:sz="4" w:space="0"/>
              <w:left w:val="single" w:color="auto" w:sz="4" w:space="0"/>
              <w:bottom w:val="single" w:color="auto" w:sz="4" w:space="0"/>
              <w:right w:val="single" w:color="auto" w:sz="4" w:space="0"/>
            </w:tcBorders>
            <w:noWrap/>
            <w:vAlign w:val="top"/>
          </w:tcPr>
          <w:p w14:paraId="5CA465F1">
            <w:pPr>
              <w:keepNext w:val="0"/>
              <w:keepLines w:val="0"/>
              <w:widowControl/>
              <w:suppressLineNumbers w:val="0"/>
              <w:ind w:left="0" w:leftChars="0" w:right="0" w:rightChars="0" w:firstLine="0" w:firstLineChars="0"/>
              <w:jc w:val="center"/>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1327" w:type="dxa"/>
            <w:tcBorders>
              <w:top w:val="single" w:color="auto" w:sz="4" w:space="0"/>
              <w:left w:val="single" w:color="auto" w:sz="4" w:space="0"/>
              <w:bottom w:val="single" w:color="auto" w:sz="4" w:space="0"/>
              <w:right w:val="single" w:color="auto" w:sz="4" w:space="0"/>
            </w:tcBorders>
            <w:noWrap/>
            <w:vAlign w:val="top"/>
          </w:tcPr>
          <w:p w14:paraId="78105C50">
            <w:pPr>
              <w:keepNext w:val="0"/>
              <w:keepLines w:val="0"/>
              <w:widowControl/>
              <w:suppressLineNumbers w:val="0"/>
              <w:ind w:left="0" w:leftChars="0" w:right="0" w:rightChars="0" w:firstLine="0" w:firstLineChars="0"/>
              <w:jc w:val="center"/>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w:t>
            </w:r>
          </w:p>
        </w:tc>
        <w:tc>
          <w:tcPr>
            <w:tcW w:w="1104" w:type="dxa"/>
            <w:tcBorders>
              <w:top w:val="single" w:color="auto" w:sz="4" w:space="0"/>
              <w:left w:val="single" w:color="auto" w:sz="4" w:space="0"/>
              <w:bottom w:val="single" w:color="auto" w:sz="4" w:space="0"/>
              <w:right w:val="single" w:color="auto" w:sz="4" w:space="0"/>
            </w:tcBorders>
            <w:noWrap/>
            <w:vAlign w:val="top"/>
          </w:tcPr>
          <w:p w14:paraId="2C53B964">
            <w:pPr>
              <w:keepNext w:val="0"/>
              <w:keepLines w:val="0"/>
              <w:widowControl/>
              <w:suppressLineNumbers w:val="0"/>
              <w:ind w:left="0" w:leftChars="0" w:right="0" w:rightChars="0" w:firstLine="0" w:firstLineChars="0"/>
              <w:jc w:val="center"/>
              <w:textAlignment w:val="top"/>
              <w:rPr>
                <w:rFonts w:hint="eastAsia" w:ascii="宋体" w:hAnsi="宋体" w:eastAsia="宋体" w:cs="宋体"/>
                <w:i w:val="0"/>
                <w:iCs w:val="0"/>
                <w:color w:val="auto"/>
                <w:kern w:val="0"/>
                <w:sz w:val="24"/>
                <w:szCs w:val="24"/>
                <w:u w:val="none"/>
                <w:lang w:val="en-US" w:eastAsia="zh-CN" w:bidi="ar"/>
              </w:rPr>
            </w:pPr>
          </w:p>
        </w:tc>
        <w:tc>
          <w:tcPr>
            <w:tcW w:w="1105" w:type="dxa"/>
            <w:tcBorders>
              <w:top w:val="single" w:color="auto" w:sz="4" w:space="0"/>
              <w:left w:val="single" w:color="auto" w:sz="4" w:space="0"/>
              <w:bottom w:val="single" w:color="auto" w:sz="4" w:space="0"/>
              <w:right w:val="single" w:color="auto" w:sz="4" w:space="0"/>
            </w:tcBorders>
            <w:noWrap/>
            <w:vAlign w:val="top"/>
          </w:tcPr>
          <w:p w14:paraId="4C6F9A9B">
            <w:pPr>
              <w:keepNext w:val="0"/>
              <w:keepLines w:val="0"/>
              <w:widowControl/>
              <w:suppressLineNumbers w:val="0"/>
              <w:ind w:left="0" w:leftChars="0" w:right="0" w:rightChars="0" w:firstLine="0" w:firstLineChars="0"/>
              <w:jc w:val="center"/>
              <w:textAlignment w:val="top"/>
              <w:rPr>
                <w:rFonts w:hint="eastAsia" w:ascii="宋体" w:hAnsi="宋体" w:eastAsia="宋体" w:cs="宋体"/>
                <w:i w:val="0"/>
                <w:iCs w:val="0"/>
                <w:color w:val="auto"/>
                <w:kern w:val="0"/>
                <w:sz w:val="24"/>
                <w:szCs w:val="24"/>
                <w:u w:val="none"/>
                <w:lang w:val="en-US" w:eastAsia="zh-CN" w:bidi="ar"/>
              </w:rPr>
            </w:pPr>
          </w:p>
        </w:tc>
        <w:tc>
          <w:tcPr>
            <w:tcW w:w="1549" w:type="dxa"/>
            <w:tcBorders>
              <w:top w:val="single" w:color="auto" w:sz="4" w:space="0"/>
              <w:left w:val="single" w:color="auto" w:sz="4" w:space="0"/>
              <w:bottom w:val="single" w:color="auto" w:sz="4" w:space="0"/>
              <w:right w:val="single" w:color="auto" w:sz="4" w:space="0"/>
            </w:tcBorders>
            <w:noWrap/>
            <w:vAlign w:val="top"/>
          </w:tcPr>
          <w:p w14:paraId="57AA3969">
            <w:pPr>
              <w:keepNext w:val="0"/>
              <w:keepLines w:val="0"/>
              <w:widowControl/>
              <w:suppressLineNumbers w:val="0"/>
              <w:ind w:left="0" w:leftChars="0" w:right="0" w:rightChars="0" w:firstLine="0" w:firstLineChars="0"/>
              <w:jc w:val="center"/>
              <w:textAlignment w:val="top"/>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6%</w:t>
            </w:r>
          </w:p>
        </w:tc>
      </w:tr>
      <w:tr w14:paraId="57BED9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93" w:type="dxa"/>
            <w:tcBorders>
              <w:top w:val="single" w:color="auto" w:sz="4" w:space="0"/>
              <w:left w:val="single" w:color="auto" w:sz="4" w:space="0"/>
              <w:bottom w:val="single" w:color="auto" w:sz="4" w:space="0"/>
              <w:right w:val="single" w:color="auto" w:sz="4" w:space="0"/>
            </w:tcBorders>
            <w:noWrap/>
            <w:vAlign w:val="top"/>
          </w:tcPr>
          <w:p w14:paraId="1CF169FF">
            <w:pPr>
              <w:keepNext w:val="0"/>
              <w:keepLines w:val="0"/>
              <w:widowControl/>
              <w:suppressLineNumbers w:val="0"/>
              <w:ind w:left="0" w:leftChars="0" w:right="0" w:rightChars="0" w:firstLine="0" w:firstLineChars="0"/>
              <w:jc w:val="center"/>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2514" w:type="dxa"/>
            <w:tcBorders>
              <w:top w:val="single" w:color="auto" w:sz="4" w:space="0"/>
              <w:left w:val="single" w:color="auto" w:sz="4" w:space="0"/>
              <w:bottom w:val="single" w:color="auto" w:sz="4" w:space="0"/>
              <w:right w:val="single" w:color="auto" w:sz="4" w:space="0"/>
            </w:tcBorders>
            <w:noWrap w:val="0"/>
            <w:vAlign w:val="top"/>
          </w:tcPr>
          <w:p w14:paraId="45E0EBF2">
            <w:pPr>
              <w:keepNext w:val="0"/>
              <w:keepLines w:val="0"/>
              <w:widowControl/>
              <w:suppressLineNumbers w:val="0"/>
              <w:ind w:left="0" w:leftChars="0" w:right="0" w:rightChars="0" w:firstLine="0" w:firstLineChars="0"/>
              <w:jc w:val="center"/>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固定资产管定制</w:t>
            </w:r>
          </w:p>
        </w:tc>
        <w:tc>
          <w:tcPr>
            <w:tcW w:w="956" w:type="dxa"/>
            <w:tcBorders>
              <w:top w:val="single" w:color="auto" w:sz="4" w:space="0"/>
              <w:left w:val="single" w:color="auto" w:sz="4" w:space="0"/>
              <w:bottom w:val="single" w:color="auto" w:sz="4" w:space="0"/>
              <w:right w:val="single" w:color="auto" w:sz="4" w:space="0"/>
            </w:tcBorders>
            <w:noWrap/>
            <w:vAlign w:val="top"/>
          </w:tcPr>
          <w:p w14:paraId="1154821F">
            <w:pPr>
              <w:keepNext w:val="0"/>
              <w:keepLines w:val="0"/>
              <w:widowControl/>
              <w:suppressLineNumbers w:val="0"/>
              <w:ind w:left="0" w:leftChars="0" w:right="0" w:rightChars="0" w:firstLine="0" w:firstLineChars="0"/>
              <w:jc w:val="center"/>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1327" w:type="dxa"/>
            <w:tcBorders>
              <w:top w:val="single" w:color="auto" w:sz="4" w:space="0"/>
              <w:left w:val="single" w:color="auto" w:sz="4" w:space="0"/>
              <w:bottom w:val="single" w:color="auto" w:sz="4" w:space="0"/>
              <w:right w:val="single" w:color="auto" w:sz="4" w:space="0"/>
            </w:tcBorders>
            <w:noWrap/>
            <w:vAlign w:val="top"/>
          </w:tcPr>
          <w:p w14:paraId="618120EA">
            <w:pPr>
              <w:keepNext w:val="0"/>
              <w:keepLines w:val="0"/>
              <w:widowControl/>
              <w:suppressLineNumbers w:val="0"/>
              <w:ind w:left="0" w:leftChars="0" w:right="0" w:rightChars="0" w:firstLine="0" w:firstLineChars="0"/>
              <w:jc w:val="center"/>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w:t>
            </w:r>
          </w:p>
        </w:tc>
        <w:tc>
          <w:tcPr>
            <w:tcW w:w="1104" w:type="dxa"/>
            <w:tcBorders>
              <w:top w:val="single" w:color="auto" w:sz="4" w:space="0"/>
              <w:left w:val="single" w:color="auto" w:sz="4" w:space="0"/>
              <w:bottom w:val="single" w:color="auto" w:sz="4" w:space="0"/>
              <w:right w:val="single" w:color="auto" w:sz="4" w:space="0"/>
            </w:tcBorders>
            <w:noWrap/>
            <w:vAlign w:val="top"/>
          </w:tcPr>
          <w:p w14:paraId="747641B1">
            <w:pPr>
              <w:keepNext w:val="0"/>
              <w:keepLines w:val="0"/>
              <w:widowControl/>
              <w:suppressLineNumbers w:val="0"/>
              <w:ind w:left="0" w:leftChars="0" w:right="0" w:rightChars="0" w:firstLine="0" w:firstLineChars="0"/>
              <w:jc w:val="center"/>
              <w:textAlignment w:val="top"/>
              <w:rPr>
                <w:rFonts w:hint="eastAsia" w:ascii="宋体" w:hAnsi="宋体" w:eastAsia="宋体" w:cs="宋体"/>
                <w:i w:val="0"/>
                <w:iCs w:val="0"/>
                <w:color w:val="auto"/>
                <w:kern w:val="0"/>
                <w:sz w:val="24"/>
                <w:szCs w:val="24"/>
                <w:u w:val="none"/>
                <w:lang w:val="en-US" w:eastAsia="zh-CN" w:bidi="ar"/>
              </w:rPr>
            </w:pPr>
          </w:p>
        </w:tc>
        <w:tc>
          <w:tcPr>
            <w:tcW w:w="1105" w:type="dxa"/>
            <w:tcBorders>
              <w:top w:val="single" w:color="auto" w:sz="4" w:space="0"/>
              <w:left w:val="single" w:color="auto" w:sz="4" w:space="0"/>
              <w:bottom w:val="single" w:color="auto" w:sz="4" w:space="0"/>
              <w:right w:val="single" w:color="auto" w:sz="4" w:space="0"/>
            </w:tcBorders>
            <w:noWrap/>
            <w:vAlign w:val="top"/>
          </w:tcPr>
          <w:p w14:paraId="2DBC0145">
            <w:pPr>
              <w:keepNext w:val="0"/>
              <w:keepLines w:val="0"/>
              <w:widowControl/>
              <w:suppressLineNumbers w:val="0"/>
              <w:ind w:left="0" w:leftChars="0" w:right="0" w:rightChars="0" w:firstLine="0" w:firstLineChars="0"/>
              <w:jc w:val="center"/>
              <w:textAlignment w:val="top"/>
              <w:rPr>
                <w:rFonts w:hint="eastAsia" w:ascii="宋体" w:hAnsi="宋体" w:eastAsia="宋体" w:cs="宋体"/>
                <w:i w:val="0"/>
                <w:iCs w:val="0"/>
                <w:color w:val="auto"/>
                <w:kern w:val="0"/>
                <w:sz w:val="24"/>
                <w:szCs w:val="24"/>
                <w:u w:val="none"/>
                <w:lang w:val="en-US" w:eastAsia="zh-CN" w:bidi="ar"/>
              </w:rPr>
            </w:pPr>
          </w:p>
        </w:tc>
        <w:tc>
          <w:tcPr>
            <w:tcW w:w="1549" w:type="dxa"/>
            <w:tcBorders>
              <w:top w:val="single" w:color="auto" w:sz="4" w:space="0"/>
              <w:left w:val="single" w:color="auto" w:sz="4" w:space="0"/>
              <w:bottom w:val="single" w:color="auto" w:sz="4" w:space="0"/>
              <w:right w:val="single" w:color="auto" w:sz="4" w:space="0"/>
            </w:tcBorders>
            <w:noWrap/>
            <w:vAlign w:val="top"/>
          </w:tcPr>
          <w:p w14:paraId="6535DE7A">
            <w:pPr>
              <w:keepNext w:val="0"/>
              <w:keepLines w:val="0"/>
              <w:widowControl/>
              <w:suppressLineNumbers w:val="0"/>
              <w:ind w:left="0" w:leftChars="0" w:right="0" w:rightChars="0" w:firstLine="0" w:firstLineChars="0"/>
              <w:jc w:val="center"/>
              <w:textAlignment w:val="top"/>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6%</w:t>
            </w:r>
          </w:p>
        </w:tc>
      </w:tr>
      <w:tr w14:paraId="35FB9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93" w:type="dxa"/>
            <w:tcBorders>
              <w:top w:val="single" w:color="auto" w:sz="4" w:space="0"/>
              <w:left w:val="single" w:color="auto" w:sz="4" w:space="0"/>
              <w:bottom w:val="single" w:color="auto" w:sz="4" w:space="0"/>
              <w:right w:val="single" w:color="auto" w:sz="4" w:space="0"/>
            </w:tcBorders>
            <w:noWrap/>
            <w:vAlign w:val="top"/>
          </w:tcPr>
          <w:p w14:paraId="5D2938D6">
            <w:pPr>
              <w:keepNext w:val="0"/>
              <w:keepLines w:val="0"/>
              <w:widowControl/>
              <w:suppressLineNumbers w:val="0"/>
              <w:ind w:left="0" w:leftChars="0" w:right="0" w:rightChars="0" w:firstLine="0" w:firstLineChars="0"/>
              <w:jc w:val="center"/>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w:t>
            </w:r>
          </w:p>
        </w:tc>
        <w:tc>
          <w:tcPr>
            <w:tcW w:w="2514" w:type="dxa"/>
            <w:tcBorders>
              <w:top w:val="single" w:color="auto" w:sz="4" w:space="0"/>
              <w:left w:val="single" w:color="auto" w:sz="4" w:space="0"/>
              <w:bottom w:val="single" w:color="auto" w:sz="4" w:space="0"/>
              <w:right w:val="single" w:color="auto" w:sz="4" w:space="0"/>
            </w:tcBorders>
            <w:noWrap w:val="0"/>
            <w:vAlign w:val="top"/>
          </w:tcPr>
          <w:p w14:paraId="7570DFF6">
            <w:pPr>
              <w:keepNext w:val="0"/>
              <w:keepLines w:val="0"/>
              <w:widowControl/>
              <w:suppressLineNumbers w:val="0"/>
              <w:ind w:left="0" w:leftChars="0" w:right="0" w:rightChars="0" w:firstLine="0" w:firstLineChars="0"/>
              <w:jc w:val="center"/>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党群工会定制</w:t>
            </w:r>
          </w:p>
        </w:tc>
        <w:tc>
          <w:tcPr>
            <w:tcW w:w="956" w:type="dxa"/>
            <w:tcBorders>
              <w:top w:val="single" w:color="auto" w:sz="4" w:space="0"/>
              <w:left w:val="single" w:color="auto" w:sz="4" w:space="0"/>
              <w:bottom w:val="single" w:color="auto" w:sz="4" w:space="0"/>
              <w:right w:val="single" w:color="auto" w:sz="4" w:space="0"/>
            </w:tcBorders>
            <w:noWrap/>
            <w:vAlign w:val="top"/>
          </w:tcPr>
          <w:p w14:paraId="6B1DA688">
            <w:pPr>
              <w:keepNext w:val="0"/>
              <w:keepLines w:val="0"/>
              <w:widowControl/>
              <w:suppressLineNumbers w:val="0"/>
              <w:ind w:left="0" w:leftChars="0" w:right="0" w:rightChars="0" w:firstLine="0" w:firstLineChars="0"/>
              <w:jc w:val="center"/>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1327" w:type="dxa"/>
            <w:tcBorders>
              <w:top w:val="single" w:color="auto" w:sz="4" w:space="0"/>
              <w:left w:val="single" w:color="auto" w:sz="4" w:space="0"/>
              <w:bottom w:val="single" w:color="auto" w:sz="4" w:space="0"/>
              <w:right w:val="single" w:color="auto" w:sz="4" w:space="0"/>
            </w:tcBorders>
            <w:noWrap/>
            <w:vAlign w:val="top"/>
          </w:tcPr>
          <w:p w14:paraId="24600EA0">
            <w:pPr>
              <w:keepNext w:val="0"/>
              <w:keepLines w:val="0"/>
              <w:widowControl/>
              <w:suppressLineNumbers w:val="0"/>
              <w:ind w:left="0" w:leftChars="0" w:right="0" w:rightChars="0" w:firstLine="0" w:firstLineChars="0"/>
              <w:jc w:val="center"/>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w:t>
            </w:r>
          </w:p>
        </w:tc>
        <w:tc>
          <w:tcPr>
            <w:tcW w:w="1104" w:type="dxa"/>
            <w:tcBorders>
              <w:top w:val="single" w:color="auto" w:sz="4" w:space="0"/>
              <w:left w:val="single" w:color="auto" w:sz="4" w:space="0"/>
              <w:bottom w:val="single" w:color="auto" w:sz="4" w:space="0"/>
              <w:right w:val="single" w:color="auto" w:sz="4" w:space="0"/>
            </w:tcBorders>
            <w:noWrap/>
            <w:vAlign w:val="top"/>
          </w:tcPr>
          <w:p w14:paraId="7F10BDFE">
            <w:pPr>
              <w:keepNext w:val="0"/>
              <w:keepLines w:val="0"/>
              <w:widowControl/>
              <w:suppressLineNumbers w:val="0"/>
              <w:ind w:left="0" w:leftChars="0" w:right="0" w:rightChars="0" w:firstLine="0" w:firstLineChars="0"/>
              <w:jc w:val="center"/>
              <w:textAlignment w:val="top"/>
              <w:rPr>
                <w:rFonts w:hint="eastAsia" w:ascii="宋体" w:hAnsi="宋体" w:eastAsia="宋体" w:cs="宋体"/>
                <w:i w:val="0"/>
                <w:iCs w:val="0"/>
                <w:color w:val="auto"/>
                <w:kern w:val="0"/>
                <w:sz w:val="24"/>
                <w:szCs w:val="24"/>
                <w:u w:val="none"/>
                <w:lang w:val="en-US" w:eastAsia="zh-CN" w:bidi="ar"/>
              </w:rPr>
            </w:pPr>
          </w:p>
        </w:tc>
        <w:tc>
          <w:tcPr>
            <w:tcW w:w="1105" w:type="dxa"/>
            <w:tcBorders>
              <w:top w:val="single" w:color="auto" w:sz="4" w:space="0"/>
              <w:left w:val="single" w:color="auto" w:sz="4" w:space="0"/>
              <w:bottom w:val="single" w:color="auto" w:sz="4" w:space="0"/>
              <w:right w:val="single" w:color="auto" w:sz="4" w:space="0"/>
            </w:tcBorders>
            <w:noWrap/>
            <w:vAlign w:val="top"/>
          </w:tcPr>
          <w:p w14:paraId="2B44F892">
            <w:pPr>
              <w:keepNext w:val="0"/>
              <w:keepLines w:val="0"/>
              <w:widowControl/>
              <w:suppressLineNumbers w:val="0"/>
              <w:ind w:left="0" w:leftChars="0" w:right="0" w:rightChars="0" w:firstLine="0" w:firstLineChars="0"/>
              <w:jc w:val="center"/>
              <w:textAlignment w:val="top"/>
              <w:rPr>
                <w:rFonts w:hint="eastAsia" w:ascii="宋体" w:hAnsi="宋体" w:eastAsia="宋体" w:cs="宋体"/>
                <w:i w:val="0"/>
                <w:iCs w:val="0"/>
                <w:color w:val="auto"/>
                <w:kern w:val="0"/>
                <w:sz w:val="24"/>
                <w:szCs w:val="24"/>
                <w:u w:val="none"/>
                <w:lang w:val="en-US" w:eastAsia="zh-CN" w:bidi="ar"/>
              </w:rPr>
            </w:pPr>
          </w:p>
        </w:tc>
        <w:tc>
          <w:tcPr>
            <w:tcW w:w="1549" w:type="dxa"/>
            <w:tcBorders>
              <w:top w:val="single" w:color="auto" w:sz="4" w:space="0"/>
              <w:left w:val="single" w:color="auto" w:sz="4" w:space="0"/>
              <w:bottom w:val="single" w:color="auto" w:sz="4" w:space="0"/>
              <w:right w:val="single" w:color="auto" w:sz="4" w:space="0"/>
            </w:tcBorders>
            <w:noWrap/>
            <w:vAlign w:val="top"/>
          </w:tcPr>
          <w:p w14:paraId="2B29197E">
            <w:pPr>
              <w:keepNext w:val="0"/>
              <w:keepLines w:val="0"/>
              <w:widowControl/>
              <w:suppressLineNumbers w:val="0"/>
              <w:ind w:left="0" w:leftChars="0" w:right="0" w:rightChars="0" w:firstLine="0" w:firstLineChars="0"/>
              <w:jc w:val="center"/>
              <w:textAlignment w:val="top"/>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6%</w:t>
            </w:r>
          </w:p>
        </w:tc>
      </w:tr>
      <w:tr w14:paraId="33D87A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93" w:type="dxa"/>
            <w:tcBorders>
              <w:top w:val="single" w:color="auto" w:sz="4" w:space="0"/>
              <w:left w:val="single" w:color="auto" w:sz="4" w:space="0"/>
              <w:bottom w:val="single" w:color="auto" w:sz="4" w:space="0"/>
              <w:right w:val="single" w:color="auto" w:sz="4" w:space="0"/>
            </w:tcBorders>
            <w:noWrap/>
            <w:vAlign w:val="top"/>
          </w:tcPr>
          <w:p w14:paraId="1E3F0517">
            <w:pPr>
              <w:keepNext w:val="0"/>
              <w:keepLines w:val="0"/>
              <w:widowControl/>
              <w:suppressLineNumbers w:val="0"/>
              <w:ind w:left="0" w:leftChars="0" w:right="0" w:rightChars="0" w:firstLine="0" w:firstLineChars="0"/>
              <w:jc w:val="center"/>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w:t>
            </w:r>
          </w:p>
        </w:tc>
        <w:tc>
          <w:tcPr>
            <w:tcW w:w="2514" w:type="dxa"/>
            <w:tcBorders>
              <w:top w:val="single" w:color="auto" w:sz="4" w:space="0"/>
              <w:left w:val="single" w:color="auto" w:sz="4" w:space="0"/>
              <w:bottom w:val="single" w:color="auto" w:sz="4" w:space="0"/>
              <w:right w:val="single" w:color="auto" w:sz="4" w:space="0"/>
            </w:tcBorders>
            <w:noWrap w:val="0"/>
            <w:vAlign w:val="top"/>
          </w:tcPr>
          <w:p w14:paraId="7E1BF91D">
            <w:pPr>
              <w:keepNext w:val="0"/>
              <w:keepLines w:val="0"/>
              <w:widowControl/>
              <w:suppressLineNumbers w:val="0"/>
              <w:ind w:left="0" w:leftChars="0" w:right="0" w:rightChars="0" w:firstLine="0" w:firstLineChars="0"/>
              <w:jc w:val="center"/>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信访纪检定制</w:t>
            </w:r>
          </w:p>
        </w:tc>
        <w:tc>
          <w:tcPr>
            <w:tcW w:w="956" w:type="dxa"/>
            <w:tcBorders>
              <w:top w:val="single" w:color="auto" w:sz="4" w:space="0"/>
              <w:left w:val="single" w:color="auto" w:sz="4" w:space="0"/>
              <w:bottom w:val="single" w:color="auto" w:sz="4" w:space="0"/>
              <w:right w:val="single" w:color="auto" w:sz="4" w:space="0"/>
            </w:tcBorders>
            <w:noWrap/>
            <w:vAlign w:val="top"/>
          </w:tcPr>
          <w:p w14:paraId="184A1DAF">
            <w:pPr>
              <w:keepNext w:val="0"/>
              <w:keepLines w:val="0"/>
              <w:widowControl/>
              <w:suppressLineNumbers w:val="0"/>
              <w:ind w:left="0" w:leftChars="0" w:right="0" w:rightChars="0" w:firstLine="0" w:firstLineChars="0"/>
              <w:jc w:val="center"/>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1327" w:type="dxa"/>
            <w:tcBorders>
              <w:top w:val="single" w:color="auto" w:sz="4" w:space="0"/>
              <w:left w:val="single" w:color="auto" w:sz="4" w:space="0"/>
              <w:bottom w:val="single" w:color="auto" w:sz="4" w:space="0"/>
              <w:right w:val="single" w:color="auto" w:sz="4" w:space="0"/>
            </w:tcBorders>
            <w:noWrap/>
            <w:vAlign w:val="top"/>
          </w:tcPr>
          <w:p w14:paraId="17023E98">
            <w:pPr>
              <w:keepNext w:val="0"/>
              <w:keepLines w:val="0"/>
              <w:widowControl/>
              <w:suppressLineNumbers w:val="0"/>
              <w:ind w:left="0" w:leftChars="0" w:right="0" w:rightChars="0" w:firstLine="0" w:firstLineChars="0"/>
              <w:jc w:val="center"/>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w:t>
            </w:r>
          </w:p>
        </w:tc>
        <w:tc>
          <w:tcPr>
            <w:tcW w:w="1104" w:type="dxa"/>
            <w:tcBorders>
              <w:top w:val="single" w:color="auto" w:sz="4" w:space="0"/>
              <w:left w:val="single" w:color="auto" w:sz="4" w:space="0"/>
              <w:bottom w:val="single" w:color="auto" w:sz="4" w:space="0"/>
              <w:right w:val="single" w:color="auto" w:sz="4" w:space="0"/>
            </w:tcBorders>
            <w:noWrap/>
            <w:vAlign w:val="top"/>
          </w:tcPr>
          <w:p w14:paraId="020ED929">
            <w:pPr>
              <w:keepNext w:val="0"/>
              <w:keepLines w:val="0"/>
              <w:widowControl/>
              <w:suppressLineNumbers w:val="0"/>
              <w:ind w:left="0" w:leftChars="0" w:right="0" w:rightChars="0" w:firstLine="0" w:firstLineChars="0"/>
              <w:jc w:val="center"/>
              <w:textAlignment w:val="top"/>
              <w:rPr>
                <w:rFonts w:hint="eastAsia" w:ascii="宋体" w:hAnsi="宋体" w:eastAsia="宋体" w:cs="宋体"/>
                <w:i w:val="0"/>
                <w:iCs w:val="0"/>
                <w:color w:val="auto"/>
                <w:kern w:val="0"/>
                <w:sz w:val="24"/>
                <w:szCs w:val="24"/>
                <w:u w:val="none"/>
                <w:lang w:val="en-US" w:eastAsia="zh-CN" w:bidi="ar"/>
              </w:rPr>
            </w:pPr>
          </w:p>
        </w:tc>
        <w:tc>
          <w:tcPr>
            <w:tcW w:w="1105" w:type="dxa"/>
            <w:tcBorders>
              <w:top w:val="single" w:color="auto" w:sz="4" w:space="0"/>
              <w:left w:val="single" w:color="auto" w:sz="4" w:space="0"/>
              <w:bottom w:val="single" w:color="auto" w:sz="4" w:space="0"/>
              <w:right w:val="single" w:color="auto" w:sz="4" w:space="0"/>
            </w:tcBorders>
            <w:noWrap/>
            <w:vAlign w:val="top"/>
          </w:tcPr>
          <w:p w14:paraId="18191612">
            <w:pPr>
              <w:keepNext w:val="0"/>
              <w:keepLines w:val="0"/>
              <w:widowControl/>
              <w:suppressLineNumbers w:val="0"/>
              <w:ind w:left="0" w:leftChars="0" w:right="0" w:rightChars="0" w:firstLine="0" w:firstLineChars="0"/>
              <w:jc w:val="center"/>
              <w:textAlignment w:val="top"/>
              <w:rPr>
                <w:rFonts w:hint="eastAsia" w:ascii="宋体" w:hAnsi="宋体" w:eastAsia="宋体" w:cs="宋体"/>
                <w:i w:val="0"/>
                <w:iCs w:val="0"/>
                <w:color w:val="auto"/>
                <w:kern w:val="0"/>
                <w:sz w:val="24"/>
                <w:szCs w:val="24"/>
                <w:u w:val="none"/>
                <w:lang w:val="en-US" w:eastAsia="zh-CN" w:bidi="ar"/>
              </w:rPr>
            </w:pPr>
          </w:p>
        </w:tc>
        <w:tc>
          <w:tcPr>
            <w:tcW w:w="1549" w:type="dxa"/>
            <w:tcBorders>
              <w:top w:val="single" w:color="auto" w:sz="4" w:space="0"/>
              <w:left w:val="single" w:color="auto" w:sz="4" w:space="0"/>
              <w:bottom w:val="single" w:color="auto" w:sz="4" w:space="0"/>
              <w:right w:val="single" w:color="auto" w:sz="4" w:space="0"/>
            </w:tcBorders>
            <w:noWrap/>
            <w:vAlign w:val="top"/>
          </w:tcPr>
          <w:p w14:paraId="39F2E55D">
            <w:pPr>
              <w:keepNext w:val="0"/>
              <w:keepLines w:val="0"/>
              <w:widowControl/>
              <w:suppressLineNumbers w:val="0"/>
              <w:ind w:left="0" w:leftChars="0" w:right="0" w:rightChars="0" w:firstLine="0" w:firstLineChars="0"/>
              <w:jc w:val="center"/>
              <w:textAlignment w:val="top"/>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6%</w:t>
            </w:r>
          </w:p>
        </w:tc>
      </w:tr>
      <w:tr w14:paraId="7F564D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93" w:type="dxa"/>
            <w:tcBorders>
              <w:top w:val="single" w:color="auto" w:sz="4" w:space="0"/>
              <w:left w:val="single" w:color="auto" w:sz="4" w:space="0"/>
              <w:bottom w:val="single" w:color="auto" w:sz="4" w:space="0"/>
              <w:right w:val="single" w:color="auto" w:sz="4" w:space="0"/>
            </w:tcBorders>
            <w:noWrap/>
            <w:vAlign w:val="top"/>
          </w:tcPr>
          <w:p w14:paraId="781E4DC1">
            <w:pPr>
              <w:keepNext w:val="0"/>
              <w:keepLines w:val="0"/>
              <w:widowControl/>
              <w:suppressLineNumbers w:val="0"/>
              <w:ind w:left="0" w:leftChars="0" w:right="0" w:rightChars="0" w:firstLine="0" w:firstLineChars="0"/>
              <w:jc w:val="center"/>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13</w:t>
            </w:r>
          </w:p>
        </w:tc>
        <w:tc>
          <w:tcPr>
            <w:tcW w:w="2514" w:type="dxa"/>
            <w:tcBorders>
              <w:top w:val="single" w:color="auto" w:sz="4" w:space="0"/>
              <w:left w:val="single" w:color="auto" w:sz="4" w:space="0"/>
              <w:bottom w:val="single" w:color="auto" w:sz="4" w:space="0"/>
              <w:right w:val="single" w:color="auto" w:sz="4" w:space="0"/>
            </w:tcBorders>
            <w:noWrap w:val="0"/>
            <w:vAlign w:val="top"/>
          </w:tcPr>
          <w:p w14:paraId="747A6652">
            <w:pPr>
              <w:keepNext w:val="0"/>
              <w:keepLines w:val="0"/>
              <w:widowControl/>
              <w:suppressLineNumbers w:val="0"/>
              <w:ind w:left="0" w:leftChars="0" w:right="0" w:rightChars="0" w:firstLine="0" w:firstLineChars="0"/>
              <w:jc w:val="center"/>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数据中心(报表/成本分析)定制</w:t>
            </w:r>
          </w:p>
        </w:tc>
        <w:tc>
          <w:tcPr>
            <w:tcW w:w="956" w:type="dxa"/>
            <w:tcBorders>
              <w:top w:val="single" w:color="auto" w:sz="4" w:space="0"/>
              <w:left w:val="single" w:color="auto" w:sz="4" w:space="0"/>
              <w:bottom w:val="single" w:color="auto" w:sz="4" w:space="0"/>
              <w:right w:val="single" w:color="auto" w:sz="4" w:space="0"/>
            </w:tcBorders>
            <w:noWrap/>
            <w:vAlign w:val="top"/>
          </w:tcPr>
          <w:p w14:paraId="779D8320">
            <w:pPr>
              <w:keepNext w:val="0"/>
              <w:keepLines w:val="0"/>
              <w:widowControl/>
              <w:suppressLineNumbers w:val="0"/>
              <w:ind w:left="0" w:leftChars="0" w:right="0" w:rightChars="0" w:firstLine="0" w:firstLineChars="0"/>
              <w:jc w:val="center"/>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1327" w:type="dxa"/>
            <w:tcBorders>
              <w:top w:val="single" w:color="auto" w:sz="4" w:space="0"/>
              <w:left w:val="single" w:color="auto" w:sz="4" w:space="0"/>
              <w:bottom w:val="single" w:color="auto" w:sz="4" w:space="0"/>
              <w:right w:val="single" w:color="auto" w:sz="4" w:space="0"/>
            </w:tcBorders>
            <w:noWrap/>
            <w:vAlign w:val="top"/>
          </w:tcPr>
          <w:p w14:paraId="6A89021D">
            <w:pPr>
              <w:keepNext w:val="0"/>
              <w:keepLines w:val="0"/>
              <w:widowControl/>
              <w:suppressLineNumbers w:val="0"/>
              <w:ind w:left="0" w:leftChars="0" w:right="0" w:rightChars="0" w:firstLine="0" w:firstLineChars="0"/>
              <w:jc w:val="center"/>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w:t>
            </w:r>
          </w:p>
        </w:tc>
        <w:tc>
          <w:tcPr>
            <w:tcW w:w="1104" w:type="dxa"/>
            <w:tcBorders>
              <w:top w:val="single" w:color="auto" w:sz="4" w:space="0"/>
              <w:left w:val="single" w:color="auto" w:sz="4" w:space="0"/>
              <w:bottom w:val="single" w:color="auto" w:sz="4" w:space="0"/>
              <w:right w:val="single" w:color="auto" w:sz="4" w:space="0"/>
            </w:tcBorders>
            <w:noWrap/>
            <w:vAlign w:val="top"/>
          </w:tcPr>
          <w:p w14:paraId="559CC4E8">
            <w:pPr>
              <w:keepNext w:val="0"/>
              <w:keepLines w:val="0"/>
              <w:widowControl/>
              <w:suppressLineNumbers w:val="0"/>
              <w:ind w:left="0" w:leftChars="0" w:right="0" w:rightChars="0" w:firstLine="0" w:firstLineChars="0"/>
              <w:jc w:val="center"/>
              <w:textAlignment w:val="top"/>
              <w:rPr>
                <w:rFonts w:hint="eastAsia" w:ascii="宋体" w:hAnsi="宋体" w:eastAsia="宋体" w:cs="宋体"/>
                <w:i w:val="0"/>
                <w:iCs w:val="0"/>
                <w:color w:val="auto"/>
                <w:kern w:val="0"/>
                <w:sz w:val="24"/>
                <w:szCs w:val="24"/>
                <w:u w:val="none"/>
                <w:lang w:val="en-US" w:eastAsia="zh-CN" w:bidi="ar"/>
              </w:rPr>
            </w:pPr>
          </w:p>
        </w:tc>
        <w:tc>
          <w:tcPr>
            <w:tcW w:w="1105" w:type="dxa"/>
            <w:tcBorders>
              <w:top w:val="single" w:color="auto" w:sz="4" w:space="0"/>
              <w:left w:val="single" w:color="auto" w:sz="4" w:space="0"/>
              <w:bottom w:val="single" w:color="auto" w:sz="4" w:space="0"/>
              <w:right w:val="single" w:color="auto" w:sz="4" w:space="0"/>
            </w:tcBorders>
            <w:noWrap/>
            <w:vAlign w:val="top"/>
          </w:tcPr>
          <w:p w14:paraId="75FE501C">
            <w:pPr>
              <w:keepNext w:val="0"/>
              <w:keepLines w:val="0"/>
              <w:widowControl/>
              <w:suppressLineNumbers w:val="0"/>
              <w:ind w:left="0" w:leftChars="0" w:right="0" w:rightChars="0" w:firstLine="0" w:firstLineChars="0"/>
              <w:jc w:val="center"/>
              <w:textAlignment w:val="top"/>
              <w:rPr>
                <w:rFonts w:hint="eastAsia" w:ascii="宋体" w:hAnsi="宋体" w:eastAsia="宋体" w:cs="宋体"/>
                <w:i w:val="0"/>
                <w:iCs w:val="0"/>
                <w:color w:val="auto"/>
                <w:kern w:val="0"/>
                <w:sz w:val="24"/>
                <w:szCs w:val="24"/>
                <w:u w:val="none"/>
                <w:lang w:val="en-US" w:eastAsia="zh-CN" w:bidi="ar"/>
              </w:rPr>
            </w:pPr>
          </w:p>
        </w:tc>
        <w:tc>
          <w:tcPr>
            <w:tcW w:w="1549" w:type="dxa"/>
            <w:tcBorders>
              <w:top w:val="single" w:color="auto" w:sz="4" w:space="0"/>
              <w:left w:val="single" w:color="auto" w:sz="4" w:space="0"/>
              <w:bottom w:val="single" w:color="auto" w:sz="4" w:space="0"/>
              <w:right w:val="single" w:color="auto" w:sz="4" w:space="0"/>
            </w:tcBorders>
            <w:noWrap/>
            <w:vAlign w:val="top"/>
          </w:tcPr>
          <w:p w14:paraId="75AA5DFB">
            <w:pPr>
              <w:keepNext w:val="0"/>
              <w:keepLines w:val="0"/>
              <w:widowControl/>
              <w:suppressLineNumbers w:val="0"/>
              <w:ind w:left="0" w:leftChars="0" w:right="0" w:rightChars="0" w:firstLine="0" w:firstLineChars="0"/>
              <w:jc w:val="center"/>
              <w:textAlignment w:val="top"/>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6%</w:t>
            </w:r>
          </w:p>
        </w:tc>
      </w:tr>
      <w:tr w14:paraId="665D7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93" w:type="dxa"/>
            <w:tcBorders>
              <w:top w:val="single" w:color="auto" w:sz="4" w:space="0"/>
              <w:left w:val="single" w:color="auto" w:sz="4" w:space="0"/>
              <w:bottom w:val="single" w:color="auto" w:sz="4" w:space="0"/>
              <w:right w:val="single" w:color="auto" w:sz="4" w:space="0"/>
            </w:tcBorders>
            <w:noWrap/>
            <w:vAlign w:val="top"/>
          </w:tcPr>
          <w:p w14:paraId="008F1DE9">
            <w:pPr>
              <w:keepNext w:val="0"/>
              <w:keepLines w:val="0"/>
              <w:widowControl/>
              <w:suppressLineNumbers w:val="0"/>
              <w:ind w:left="0" w:leftChars="0" w:right="0" w:rightChars="0" w:firstLine="0" w:firstLineChars="0"/>
              <w:jc w:val="center"/>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w:t>
            </w:r>
          </w:p>
        </w:tc>
        <w:tc>
          <w:tcPr>
            <w:tcW w:w="2514" w:type="dxa"/>
            <w:tcBorders>
              <w:top w:val="single" w:color="auto" w:sz="4" w:space="0"/>
              <w:left w:val="single" w:color="auto" w:sz="4" w:space="0"/>
              <w:bottom w:val="single" w:color="auto" w:sz="4" w:space="0"/>
              <w:right w:val="single" w:color="auto" w:sz="4" w:space="0"/>
            </w:tcBorders>
            <w:noWrap w:val="0"/>
            <w:vAlign w:val="top"/>
          </w:tcPr>
          <w:p w14:paraId="67C44ED5">
            <w:pPr>
              <w:keepNext w:val="0"/>
              <w:keepLines w:val="0"/>
              <w:widowControl/>
              <w:suppressLineNumbers w:val="0"/>
              <w:ind w:left="0" w:leftChars="0" w:right="0" w:rightChars="0" w:firstLine="0" w:firstLineChars="0"/>
              <w:jc w:val="center"/>
              <w:textAlignment w:val="top"/>
              <w:rPr>
                <w:rFonts w:hint="default" w:ascii="宋体" w:hAnsi="宋体" w:eastAsia="宋体" w:cs="宋体"/>
                <w:i w:val="0"/>
                <w:iCs w:val="0"/>
                <w:color w:val="auto"/>
                <w:sz w:val="24"/>
                <w:szCs w:val="24"/>
                <w:u w:val="none"/>
                <w:lang w:val="en-US"/>
              </w:rPr>
            </w:pPr>
            <w:r>
              <w:rPr>
                <w:rFonts w:hint="eastAsia" w:ascii="宋体" w:hAnsi="宋体" w:eastAsia="宋体" w:cs="宋体"/>
                <w:i w:val="0"/>
                <w:iCs w:val="0"/>
                <w:color w:val="auto"/>
                <w:kern w:val="0"/>
                <w:sz w:val="24"/>
                <w:szCs w:val="24"/>
                <w:u w:val="none"/>
                <w:lang w:val="en-US" w:eastAsia="zh-CN" w:bidi="ar"/>
              </w:rPr>
              <w:t>平台授权模块</w:t>
            </w:r>
          </w:p>
        </w:tc>
        <w:tc>
          <w:tcPr>
            <w:tcW w:w="956" w:type="dxa"/>
            <w:tcBorders>
              <w:top w:val="single" w:color="auto" w:sz="4" w:space="0"/>
              <w:left w:val="single" w:color="auto" w:sz="4" w:space="0"/>
              <w:bottom w:val="single" w:color="auto" w:sz="4" w:space="0"/>
              <w:right w:val="single" w:color="auto" w:sz="4" w:space="0"/>
            </w:tcBorders>
            <w:noWrap/>
            <w:vAlign w:val="top"/>
          </w:tcPr>
          <w:p w14:paraId="7D7FF120">
            <w:pPr>
              <w:keepNext w:val="0"/>
              <w:keepLines w:val="0"/>
              <w:widowControl/>
              <w:suppressLineNumbers w:val="0"/>
              <w:ind w:left="0" w:leftChars="0" w:right="0" w:rightChars="0" w:firstLine="0" w:firstLineChars="0"/>
              <w:jc w:val="center"/>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1327" w:type="dxa"/>
            <w:tcBorders>
              <w:top w:val="single" w:color="auto" w:sz="4" w:space="0"/>
              <w:left w:val="single" w:color="auto" w:sz="4" w:space="0"/>
              <w:bottom w:val="single" w:color="auto" w:sz="4" w:space="0"/>
              <w:right w:val="single" w:color="auto" w:sz="4" w:space="0"/>
            </w:tcBorders>
            <w:noWrap/>
            <w:vAlign w:val="top"/>
          </w:tcPr>
          <w:p w14:paraId="6B230CB0">
            <w:pPr>
              <w:keepNext w:val="0"/>
              <w:keepLines w:val="0"/>
              <w:widowControl/>
              <w:suppressLineNumbers w:val="0"/>
              <w:ind w:left="0" w:leftChars="0" w:right="0" w:rightChars="0" w:firstLine="0" w:firstLineChars="0"/>
              <w:jc w:val="center"/>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w:t>
            </w:r>
          </w:p>
        </w:tc>
        <w:tc>
          <w:tcPr>
            <w:tcW w:w="1104" w:type="dxa"/>
            <w:tcBorders>
              <w:top w:val="single" w:color="auto" w:sz="4" w:space="0"/>
              <w:left w:val="single" w:color="auto" w:sz="4" w:space="0"/>
              <w:bottom w:val="single" w:color="auto" w:sz="4" w:space="0"/>
              <w:right w:val="single" w:color="auto" w:sz="4" w:space="0"/>
            </w:tcBorders>
            <w:noWrap/>
            <w:vAlign w:val="top"/>
          </w:tcPr>
          <w:p w14:paraId="0AFDB2C9">
            <w:pPr>
              <w:keepNext w:val="0"/>
              <w:keepLines w:val="0"/>
              <w:widowControl/>
              <w:suppressLineNumbers w:val="0"/>
              <w:ind w:left="0" w:leftChars="0" w:right="0" w:rightChars="0" w:firstLine="0" w:firstLineChars="0"/>
              <w:jc w:val="center"/>
              <w:textAlignment w:val="top"/>
              <w:rPr>
                <w:rFonts w:hint="eastAsia" w:ascii="宋体" w:hAnsi="宋体" w:eastAsia="宋体" w:cs="宋体"/>
                <w:i w:val="0"/>
                <w:iCs w:val="0"/>
                <w:color w:val="auto"/>
                <w:kern w:val="0"/>
                <w:sz w:val="24"/>
                <w:szCs w:val="24"/>
                <w:u w:val="none"/>
                <w:lang w:val="en-US" w:eastAsia="zh-CN" w:bidi="ar"/>
              </w:rPr>
            </w:pPr>
          </w:p>
        </w:tc>
        <w:tc>
          <w:tcPr>
            <w:tcW w:w="1105" w:type="dxa"/>
            <w:tcBorders>
              <w:top w:val="single" w:color="auto" w:sz="4" w:space="0"/>
              <w:left w:val="single" w:color="auto" w:sz="4" w:space="0"/>
              <w:bottom w:val="single" w:color="auto" w:sz="4" w:space="0"/>
              <w:right w:val="single" w:color="auto" w:sz="4" w:space="0"/>
            </w:tcBorders>
            <w:noWrap/>
            <w:vAlign w:val="top"/>
          </w:tcPr>
          <w:p w14:paraId="744DB550">
            <w:pPr>
              <w:keepNext w:val="0"/>
              <w:keepLines w:val="0"/>
              <w:widowControl/>
              <w:suppressLineNumbers w:val="0"/>
              <w:ind w:left="0" w:leftChars="0" w:right="0" w:rightChars="0" w:firstLine="0" w:firstLineChars="0"/>
              <w:jc w:val="center"/>
              <w:textAlignment w:val="top"/>
              <w:rPr>
                <w:rFonts w:hint="eastAsia" w:ascii="宋体" w:hAnsi="宋体" w:eastAsia="宋体" w:cs="宋体"/>
                <w:i w:val="0"/>
                <w:iCs w:val="0"/>
                <w:color w:val="auto"/>
                <w:kern w:val="0"/>
                <w:sz w:val="24"/>
                <w:szCs w:val="24"/>
                <w:u w:val="none"/>
                <w:lang w:val="en-US" w:eastAsia="zh-CN" w:bidi="ar"/>
              </w:rPr>
            </w:pPr>
          </w:p>
        </w:tc>
        <w:tc>
          <w:tcPr>
            <w:tcW w:w="1549" w:type="dxa"/>
            <w:tcBorders>
              <w:top w:val="single" w:color="auto" w:sz="4" w:space="0"/>
              <w:left w:val="single" w:color="auto" w:sz="4" w:space="0"/>
              <w:bottom w:val="single" w:color="auto" w:sz="4" w:space="0"/>
              <w:right w:val="single" w:color="auto" w:sz="4" w:space="0"/>
            </w:tcBorders>
            <w:noWrap/>
            <w:vAlign w:val="top"/>
          </w:tcPr>
          <w:p w14:paraId="3B2E4FD0">
            <w:pPr>
              <w:keepNext w:val="0"/>
              <w:keepLines w:val="0"/>
              <w:widowControl/>
              <w:suppressLineNumbers w:val="0"/>
              <w:ind w:left="0" w:leftChars="0" w:right="0" w:rightChars="0" w:firstLine="0" w:firstLineChars="0"/>
              <w:jc w:val="center"/>
              <w:textAlignment w:val="top"/>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13%</w:t>
            </w:r>
          </w:p>
        </w:tc>
      </w:tr>
      <w:tr w14:paraId="40D7D0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93" w:type="dxa"/>
            <w:tcBorders>
              <w:top w:val="single" w:color="auto" w:sz="4" w:space="0"/>
              <w:left w:val="single" w:color="auto" w:sz="4" w:space="0"/>
              <w:bottom w:val="single" w:color="auto" w:sz="4" w:space="0"/>
              <w:right w:val="single" w:color="auto" w:sz="4" w:space="0"/>
            </w:tcBorders>
            <w:noWrap/>
            <w:vAlign w:val="top"/>
          </w:tcPr>
          <w:p w14:paraId="4B637EEE">
            <w:pPr>
              <w:keepNext w:val="0"/>
              <w:keepLines w:val="0"/>
              <w:widowControl/>
              <w:suppressLineNumbers w:val="0"/>
              <w:ind w:left="0" w:leftChars="0" w:right="0" w:rightChars="0" w:firstLine="0" w:firstLineChars="0"/>
              <w:jc w:val="center"/>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w:t>
            </w:r>
          </w:p>
        </w:tc>
        <w:tc>
          <w:tcPr>
            <w:tcW w:w="2514" w:type="dxa"/>
            <w:tcBorders>
              <w:top w:val="single" w:color="auto" w:sz="4" w:space="0"/>
              <w:left w:val="single" w:color="auto" w:sz="4" w:space="0"/>
              <w:bottom w:val="single" w:color="auto" w:sz="4" w:space="0"/>
              <w:right w:val="single" w:color="auto" w:sz="4" w:space="0"/>
            </w:tcBorders>
            <w:noWrap/>
            <w:vAlign w:val="top"/>
          </w:tcPr>
          <w:p w14:paraId="7B2CA50A">
            <w:pPr>
              <w:keepNext w:val="0"/>
              <w:keepLines w:val="0"/>
              <w:widowControl/>
              <w:suppressLineNumbers w:val="0"/>
              <w:ind w:left="0" w:leftChars="0" w:right="0" w:rightChars="0" w:firstLine="0" w:firstLineChars="0"/>
              <w:jc w:val="center"/>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数据库服务器</w:t>
            </w:r>
          </w:p>
        </w:tc>
        <w:tc>
          <w:tcPr>
            <w:tcW w:w="956" w:type="dxa"/>
            <w:tcBorders>
              <w:top w:val="single" w:color="auto" w:sz="4" w:space="0"/>
              <w:left w:val="single" w:color="auto" w:sz="4" w:space="0"/>
              <w:bottom w:val="single" w:color="auto" w:sz="4" w:space="0"/>
              <w:right w:val="single" w:color="auto" w:sz="4" w:space="0"/>
            </w:tcBorders>
            <w:noWrap/>
            <w:vAlign w:val="top"/>
          </w:tcPr>
          <w:p w14:paraId="0086A55E">
            <w:pPr>
              <w:keepNext w:val="0"/>
              <w:keepLines w:val="0"/>
              <w:widowControl/>
              <w:suppressLineNumbers w:val="0"/>
              <w:ind w:left="0" w:leftChars="0" w:right="0" w:rightChars="0" w:firstLine="0" w:firstLineChars="0"/>
              <w:jc w:val="center"/>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w:t>
            </w:r>
          </w:p>
        </w:tc>
        <w:tc>
          <w:tcPr>
            <w:tcW w:w="1327" w:type="dxa"/>
            <w:tcBorders>
              <w:top w:val="single" w:color="auto" w:sz="4" w:space="0"/>
              <w:left w:val="single" w:color="auto" w:sz="4" w:space="0"/>
              <w:bottom w:val="single" w:color="auto" w:sz="4" w:space="0"/>
              <w:right w:val="single" w:color="auto" w:sz="4" w:space="0"/>
            </w:tcBorders>
            <w:noWrap/>
            <w:vAlign w:val="top"/>
          </w:tcPr>
          <w:p w14:paraId="23DDA40D">
            <w:pPr>
              <w:keepNext w:val="0"/>
              <w:keepLines w:val="0"/>
              <w:widowControl/>
              <w:suppressLineNumbers w:val="0"/>
              <w:ind w:left="0" w:leftChars="0" w:right="0" w:rightChars="0" w:firstLine="0" w:firstLineChars="0"/>
              <w:jc w:val="center"/>
              <w:textAlignment w:val="top"/>
              <w:rPr>
                <w:rFonts w:hint="eastAsia" w:ascii="宋体" w:hAnsi="宋体" w:eastAsia="宋体" w:cs="宋体"/>
                <w:i w:val="0"/>
                <w:iCs w:val="0"/>
                <w:color w:val="auto"/>
                <w:sz w:val="24"/>
                <w:szCs w:val="24"/>
                <w:u w:val="none"/>
              </w:rPr>
            </w:pPr>
            <w:r>
              <w:rPr>
                <w:rFonts w:hint="eastAsia" w:ascii="宋体" w:hAnsi="宋体" w:cs="宋体"/>
                <w:i w:val="0"/>
                <w:iCs w:val="0"/>
                <w:color w:val="auto"/>
                <w:kern w:val="0"/>
                <w:sz w:val="24"/>
                <w:szCs w:val="24"/>
                <w:u w:val="none"/>
                <w:lang w:val="en-US" w:eastAsia="zh-CN" w:bidi="ar"/>
              </w:rPr>
              <w:t>月</w:t>
            </w:r>
          </w:p>
        </w:tc>
        <w:tc>
          <w:tcPr>
            <w:tcW w:w="1104" w:type="dxa"/>
            <w:tcBorders>
              <w:top w:val="single" w:color="auto" w:sz="4" w:space="0"/>
              <w:left w:val="single" w:color="auto" w:sz="4" w:space="0"/>
              <w:bottom w:val="single" w:color="auto" w:sz="4" w:space="0"/>
              <w:right w:val="single" w:color="auto" w:sz="4" w:space="0"/>
            </w:tcBorders>
            <w:noWrap/>
            <w:vAlign w:val="top"/>
          </w:tcPr>
          <w:p w14:paraId="176BA6E8">
            <w:pPr>
              <w:keepNext w:val="0"/>
              <w:keepLines w:val="0"/>
              <w:widowControl/>
              <w:suppressLineNumbers w:val="0"/>
              <w:ind w:left="0" w:leftChars="0" w:right="0" w:rightChars="0" w:firstLine="0" w:firstLineChars="0"/>
              <w:jc w:val="center"/>
              <w:textAlignment w:val="top"/>
              <w:rPr>
                <w:rFonts w:hint="eastAsia" w:ascii="宋体" w:hAnsi="宋体" w:cs="宋体"/>
                <w:i w:val="0"/>
                <w:iCs w:val="0"/>
                <w:color w:val="auto"/>
                <w:kern w:val="0"/>
                <w:sz w:val="24"/>
                <w:szCs w:val="24"/>
                <w:u w:val="none"/>
                <w:lang w:val="en-US" w:eastAsia="zh-CN" w:bidi="ar"/>
              </w:rPr>
            </w:pPr>
          </w:p>
        </w:tc>
        <w:tc>
          <w:tcPr>
            <w:tcW w:w="1105" w:type="dxa"/>
            <w:tcBorders>
              <w:top w:val="single" w:color="auto" w:sz="4" w:space="0"/>
              <w:left w:val="single" w:color="auto" w:sz="4" w:space="0"/>
              <w:bottom w:val="single" w:color="auto" w:sz="4" w:space="0"/>
              <w:right w:val="single" w:color="auto" w:sz="4" w:space="0"/>
            </w:tcBorders>
            <w:noWrap/>
            <w:vAlign w:val="top"/>
          </w:tcPr>
          <w:p w14:paraId="323C66F0">
            <w:pPr>
              <w:keepNext w:val="0"/>
              <w:keepLines w:val="0"/>
              <w:widowControl/>
              <w:suppressLineNumbers w:val="0"/>
              <w:ind w:left="0" w:leftChars="0" w:right="0" w:rightChars="0" w:firstLine="0" w:firstLineChars="0"/>
              <w:jc w:val="center"/>
              <w:textAlignment w:val="top"/>
              <w:rPr>
                <w:rFonts w:hint="eastAsia" w:ascii="宋体" w:hAnsi="宋体" w:cs="宋体"/>
                <w:i w:val="0"/>
                <w:iCs w:val="0"/>
                <w:color w:val="auto"/>
                <w:kern w:val="0"/>
                <w:sz w:val="24"/>
                <w:szCs w:val="24"/>
                <w:u w:val="none"/>
                <w:lang w:val="en-US" w:eastAsia="zh-CN" w:bidi="ar"/>
              </w:rPr>
            </w:pPr>
          </w:p>
        </w:tc>
        <w:tc>
          <w:tcPr>
            <w:tcW w:w="1549" w:type="dxa"/>
            <w:tcBorders>
              <w:top w:val="single" w:color="auto" w:sz="4" w:space="0"/>
              <w:left w:val="single" w:color="auto" w:sz="4" w:space="0"/>
              <w:bottom w:val="single" w:color="auto" w:sz="4" w:space="0"/>
              <w:right w:val="single" w:color="auto" w:sz="4" w:space="0"/>
            </w:tcBorders>
            <w:noWrap/>
            <w:vAlign w:val="top"/>
          </w:tcPr>
          <w:p w14:paraId="3E20FD0A">
            <w:pPr>
              <w:keepNext w:val="0"/>
              <w:keepLines w:val="0"/>
              <w:widowControl/>
              <w:suppressLineNumbers w:val="0"/>
              <w:ind w:left="0" w:leftChars="0" w:right="0" w:rightChars="0" w:firstLine="0" w:firstLineChars="0"/>
              <w:jc w:val="center"/>
              <w:textAlignment w:val="top"/>
              <w:rPr>
                <w:rFonts w:hint="eastAsia" w:ascii="宋体" w:hAnsi="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6%</w:t>
            </w:r>
          </w:p>
        </w:tc>
      </w:tr>
      <w:tr w14:paraId="5EA648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93" w:type="dxa"/>
            <w:tcBorders>
              <w:top w:val="single" w:color="auto" w:sz="4" w:space="0"/>
              <w:left w:val="single" w:color="auto" w:sz="4" w:space="0"/>
              <w:bottom w:val="single" w:color="auto" w:sz="4" w:space="0"/>
              <w:right w:val="single" w:color="auto" w:sz="4" w:space="0"/>
            </w:tcBorders>
            <w:noWrap/>
            <w:vAlign w:val="top"/>
          </w:tcPr>
          <w:p w14:paraId="6BA713FB">
            <w:pPr>
              <w:keepNext w:val="0"/>
              <w:keepLines w:val="0"/>
              <w:widowControl/>
              <w:suppressLineNumbers w:val="0"/>
              <w:ind w:left="0" w:leftChars="0" w:right="0" w:rightChars="0" w:firstLine="0" w:firstLineChars="0"/>
              <w:jc w:val="center"/>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16</w:t>
            </w:r>
          </w:p>
        </w:tc>
        <w:tc>
          <w:tcPr>
            <w:tcW w:w="2514" w:type="dxa"/>
            <w:tcBorders>
              <w:top w:val="single" w:color="auto" w:sz="4" w:space="0"/>
              <w:left w:val="single" w:color="auto" w:sz="4" w:space="0"/>
              <w:bottom w:val="single" w:color="auto" w:sz="4" w:space="0"/>
              <w:right w:val="single" w:color="auto" w:sz="4" w:space="0"/>
            </w:tcBorders>
            <w:noWrap/>
            <w:vAlign w:val="top"/>
          </w:tcPr>
          <w:p w14:paraId="5A86F95D">
            <w:pPr>
              <w:keepNext w:val="0"/>
              <w:keepLines w:val="0"/>
              <w:widowControl/>
              <w:suppressLineNumbers w:val="0"/>
              <w:ind w:left="0" w:leftChars="0" w:right="0" w:rightChars="0" w:firstLine="0" w:firstLineChars="0"/>
              <w:jc w:val="center"/>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应用服务器</w:t>
            </w:r>
          </w:p>
        </w:tc>
        <w:tc>
          <w:tcPr>
            <w:tcW w:w="956" w:type="dxa"/>
            <w:tcBorders>
              <w:top w:val="single" w:color="auto" w:sz="4" w:space="0"/>
              <w:left w:val="single" w:color="auto" w:sz="4" w:space="0"/>
              <w:bottom w:val="single" w:color="auto" w:sz="4" w:space="0"/>
              <w:right w:val="single" w:color="auto" w:sz="4" w:space="0"/>
            </w:tcBorders>
            <w:noWrap/>
            <w:vAlign w:val="top"/>
          </w:tcPr>
          <w:p w14:paraId="6FFEA13B">
            <w:pPr>
              <w:keepNext w:val="0"/>
              <w:keepLines w:val="0"/>
              <w:widowControl/>
              <w:suppressLineNumbers w:val="0"/>
              <w:ind w:left="0" w:leftChars="0" w:right="0" w:rightChars="0" w:firstLine="0" w:firstLineChars="0"/>
              <w:jc w:val="center"/>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w:t>
            </w:r>
          </w:p>
        </w:tc>
        <w:tc>
          <w:tcPr>
            <w:tcW w:w="1327" w:type="dxa"/>
            <w:tcBorders>
              <w:top w:val="single" w:color="auto" w:sz="4" w:space="0"/>
              <w:left w:val="single" w:color="auto" w:sz="4" w:space="0"/>
              <w:bottom w:val="single" w:color="auto" w:sz="4" w:space="0"/>
              <w:right w:val="single" w:color="auto" w:sz="4" w:space="0"/>
            </w:tcBorders>
            <w:noWrap/>
            <w:vAlign w:val="top"/>
          </w:tcPr>
          <w:p w14:paraId="603CE16D">
            <w:pPr>
              <w:keepNext w:val="0"/>
              <w:keepLines w:val="0"/>
              <w:widowControl/>
              <w:suppressLineNumbers w:val="0"/>
              <w:ind w:left="0" w:leftChars="0" w:right="0" w:rightChars="0" w:firstLine="0" w:firstLineChars="0"/>
              <w:jc w:val="center"/>
              <w:textAlignment w:val="top"/>
              <w:rPr>
                <w:rFonts w:hint="eastAsia" w:ascii="宋体" w:hAnsi="宋体" w:eastAsia="宋体" w:cs="宋体"/>
                <w:i w:val="0"/>
                <w:iCs w:val="0"/>
                <w:color w:val="auto"/>
                <w:sz w:val="24"/>
                <w:szCs w:val="24"/>
                <w:u w:val="none"/>
              </w:rPr>
            </w:pPr>
            <w:r>
              <w:rPr>
                <w:rFonts w:hint="eastAsia" w:ascii="宋体" w:hAnsi="宋体" w:cs="宋体"/>
                <w:i w:val="0"/>
                <w:iCs w:val="0"/>
                <w:color w:val="auto"/>
                <w:kern w:val="0"/>
                <w:sz w:val="24"/>
                <w:szCs w:val="24"/>
                <w:u w:val="none"/>
                <w:lang w:val="en-US" w:eastAsia="zh-CN" w:bidi="ar"/>
              </w:rPr>
              <w:t>月</w:t>
            </w:r>
          </w:p>
        </w:tc>
        <w:tc>
          <w:tcPr>
            <w:tcW w:w="1104" w:type="dxa"/>
            <w:tcBorders>
              <w:top w:val="single" w:color="auto" w:sz="4" w:space="0"/>
              <w:left w:val="single" w:color="auto" w:sz="4" w:space="0"/>
              <w:bottom w:val="single" w:color="auto" w:sz="4" w:space="0"/>
              <w:right w:val="single" w:color="auto" w:sz="4" w:space="0"/>
            </w:tcBorders>
            <w:noWrap/>
            <w:vAlign w:val="top"/>
          </w:tcPr>
          <w:p w14:paraId="3CA6AB29">
            <w:pPr>
              <w:keepNext w:val="0"/>
              <w:keepLines w:val="0"/>
              <w:widowControl/>
              <w:suppressLineNumbers w:val="0"/>
              <w:ind w:left="0" w:leftChars="0" w:right="0" w:rightChars="0" w:firstLine="0" w:firstLineChars="0"/>
              <w:jc w:val="center"/>
              <w:textAlignment w:val="top"/>
              <w:rPr>
                <w:rFonts w:hint="eastAsia" w:ascii="宋体" w:hAnsi="宋体" w:cs="宋体"/>
                <w:i w:val="0"/>
                <w:iCs w:val="0"/>
                <w:color w:val="auto"/>
                <w:kern w:val="0"/>
                <w:sz w:val="24"/>
                <w:szCs w:val="24"/>
                <w:u w:val="none"/>
                <w:lang w:val="en-US" w:eastAsia="zh-CN" w:bidi="ar"/>
              </w:rPr>
            </w:pPr>
          </w:p>
        </w:tc>
        <w:tc>
          <w:tcPr>
            <w:tcW w:w="1105" w:type="dxa"/>
            <w:tcBorders>
              <w:top w:val="single" w:color="auto" w:sz="4" w:space="0"/>
              <w:left w:val="single" w:color="auto" w:sz="4" w:space="0"/>
              <w:bottom w:val="single" w:color="auto" w:sz="4" w:space="0"/>
              <w:right w:val="single" w:color="auto" w:sz="4" w:space="0"/>
            </w:tcBorders>
            <w:noWrap/>
            <w:vAlign w:val="top"/>
          </w:tcPr>
          <w:p w14:paraId="4E22CF61">
            <w:pPr>
              <w:keepNext w:val="0"/>
              <w:keepLines w:val="0"/>
              <w:widowControl/>
              <w:suppressLineNumbers w:val="0"/>
              <w:ind w:left="0" w:leftChars="0" w:right="0" w:rightChars="0" w:firstLine="0" w:firstLineChars="0"/>
              <w:jc w:val="center"/>
              <w:textAlignment w:val="top"/>
              <w:rPr>
                <w:rFonts w:hint="eastAsia" w:ascii="宋体" w:hAnsi="宋体" w:cs="宋体"/>
                <w:i w:val="0"/>
                <w:iCs w:val="0"/>
                <w:color w:val="auto"/>
                <w:kern w:val="0"/>
                <w:sz w:val="24"/>
                <w:szCs w:val="24"/>
                <w:u w:val="none"/>
                <w:lang w:val="en-US" w:eastAsia="zh-CN" w:bidi="ar"/>
              </w:rPr>
            </w:pPr>
          </w:p>
        </w:tc>
        <w:tc>
          <w:tcPr>
            <w:tcW w:w="1549" w:type="dxa"/>
            <w:tcBorders>
              <w:top w:val="single" w:color="auto" w:sz="4" w:space="0"/>
              <w:left w:val="single" w:color="auto" w:sz="4" w:space="0"/>
              <w:bottom w:val="single" w:color="auto" w:sz="4" w:space="0"/>
              <w:right w:val="single" w:color="auto" w:sz="4" w:space="0"/>
            </w:tcBorders>
            <w:noWrap/>
            <w:vAlign w:val="top"/>
          </w:tcPr>
          <w:p w14:paraId="33682DA6">
            <w:pPr>
              <w:keepNext w:val="0"/>
              <w:keepLines w:val="0"/>
              <w:widowControl/>
              <w:suppressLineNumbers w:val="0"/>
              <w:ind w:left="0" w:leftChars="0" w:right="0" w:rightChars="0" w:firstLine="0" w:firstLineChars="0"/>
              <w:jc w:val="center"/>
              <w:textAlignment w:val="top"/>
              <w:rPr>
                <w:rFonts w:hint="eastAsia" w:ascii="宋体" w:hAnsi="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6%</w:t>
            </w:r>
          </w:p>
        </w:tc>
      </w:tr>
      <w:tr w14:paraId="3BC04B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93" w:type="dxa"/>
            <w:tcBorders>
              <w:top w:val="single" w:color="auto" w:sz="4" w:space="0"/>
              <w:left w:val="single" w:color="auto" w:sz="4" w:space="0"/>
              <w:bottom w:val="single" w:color="auto" w:sz="4" w:space="0"/>
              <w:right w:val="single" w:color="auto" w:sz="4" w:space="0"/>
            </w:tcBorders>
            <w:noWrap/>
            <w:vAlign w:val="top"/>
          </w:tcPr>
          <w:p w14:paraId="42A15581">
            <w:pPr>
              <w:keepNext w:val="0"/>
              <w:keepLines w:val="0"/>
              <w:widowControl/>
              <w:suppressLineNumbers w:val="0"/>
              <w:ind w:left="0" w:leftChars="0" w:right="0" w:rightChars="0" w:firstLine="0" w:firstLineChars="0"/>
              <w:jc w:val="center"/>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17</w:t>
            </w:r>
          </w:p>
        </w:tc>
        <w:tc>
          <w:tcPr>
            <w:tcW w:w="2514" w:type="dxa"/>
            <w:tcBorders>
              <w:top w:val="single" w:color="auto" w:sz="4" w:space="0"/>
              <w:left w:val="single" w:color="auto" w:sz="4" w:space="0"/>
              <w:bottom w:val="single" w:color="auto" w:sz="4" w:space="0"/>
              <w:right w:val="single" w:color="auto" w:sz="4" w:space="0"/>
            </w:tcBorders>
            <w:noWrap/>
            <w:vAlign w:val="top"/>
          </w:tcPr>
          <w:p w14:paraId="3585CDAF">
            <w:pPr>
              <w:keepNext w:val="0"/>
              <w:keepLines w:val="0"/>
              <w:widowControl/>
              <w:suppressLineNumbers w:val="0"/>
              <w:ind w:left="0" w:leftChars="0" w:right="0" w:rightChars="0" w:firstLine="0" w:firstLineChars="0"/>
              <w:jc w:val="center"/>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云主机安全防护</w:t>
            </w:r>
          </w:p>
        </w:tc>
        <w:tc>
          <w:tcPr>
            <w:tcW w:w="956" w:type="dxa"/>
            <w:tcBorders>
              <w:top w:val="single" w:color="auto" w:sz="4" w:space="0"/>
              <w:left w:val="single" w:color="auto" w:sz="4" w:space="0"/>
              <w:bottom w:val="single" w:color="auto" w:sz="4" w:space="0"/>
              <w:right w:val="single" w:color="auto" w:sz="4" w:space="0"/>
            </w:tcBorders>
            <w:noWrap/>
            <w:vAlign w:val="top"/>
          </w:tcPr>
          <w:p w14:paraId="734D5357">
            <w:pPr>
              <w:keepNext w:val="0"/>
              <w:keepLines w:val="0"/>
              <w:widowControl/>
              <w:suppressLineNumbers w:val="0"/>
              <w:ind w:left="0" w:leftChars="0" w:right="0" w:rightChars="0" w:firstLine="0" w:firstLineChars="0"/>
              <w:jc w:val="center"/>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w:t>
            </w:r>
          </w:p>
        </w:tc>
        <w:tc>
          <w:tcPr>
            <w:tcW w:w="1327" w:type="dxa"/>
            <w:tcBorders>
              <w:top w:val="single" w:color="auto" w:sz="4" w:space="0"/>
              <w:left w:val="single" w:color="auto" w:sz="4" w:space="0"/>
              <w:bottom w:val="single" w:color="auto" w:sz="4" w:space="0"/>
              <w:right w:val="single" w:color="auto" w:sz="4" w:space="0"/>
            </w:tcBorders>
            <w:noWrap/>
            <w:vAlign w:val="top"/>
          </w:tcPr>
          <w:p w14:paraId="070B3292">
            <w:pPr>
              <w:keepNext w:val="0"/>
              <w:keepLines w:val="0"/>
              <w:widowControl/>
              <w:suppressLineNumbers w:val="0"/>
              <w:ind w:left="0" w:leftChars="0" w:right="0" w:rightChars="0" w:firstLine="0" w:firstLineChars="0"/>
              <w:jc w:val="center"/>
              <w:textAlignment w:val="top"/>
              <w:rPr>
                <w:rFonts w:hint="eastAsia" w:ascii="宋体" w:hAnsi="宋体" w:eastAsia="宋体" w:cs="宋体"/>
                <w:i w:val="0"/>
                <w:iCs w:val="0"/>
                <w:color w:val="auto"/>
                <w:sz w:val="24"/>
                <w:szCs w:val="24"/>
                <w:u w:val="none"/>
              </w:rPr>
            </w:pPr>
            <w:r>
              <w:rPr>
                <w:rFonts w:hint="eastAsia" w:ascii="宋体" w:hAnsi="宋体" w:cs="宋体"/>
                <w:i w:val="0"/>
                <w:iCs w:val="0"/>
                <w:color w:val="auto"/>
                <w:kern w:val="0"/>
                <w:sz w:val="24"/>
                <w:szCs w:val="24"/>
                <w:u w:val="none"/>
                <w:lang w:val="en-US" w:eastAsia="zh-CN" w:bidi="ar"/>
              </w:rPr>
              <w:t>月</w:t>
            </w:r>
          </w:p>
        </w:tc>
        <w:tc>
          <w:tcPr>
            <w:tcW w:w="1104" w:type="dxa"/>
            <w:tcBorders>
              <w:top w:val="single" w:color="auto" w:sz="4" w:space="0"/>
              <w:left w:val="single" w:color="auto" w:sz="4" w:space="0"/>
              <w:bottom w:val="single" w:color="auto" w:sz="4" w:space="0"/>
              <w:right w:val="single" w:color="auto" w:sz="4" w:space="0"/>
            </w:tcBorders>
            <w:noWrap/>
            <w:vAlign w:val="top"/>
          </w:tcPr>
          <w:p w14:paraId="003AFED1">
            <w:pPr>
              <w:keepNext w:val="0"/>
              <w:keepLines w:val="0"/>
              <w:widowControl/>
              <w:suppressLineNumbers w:val="0"/>
              <w:ind w:left="0" w:leftChars="0" w:right="0" w:rightChars="0" w:firstLine="0" w:firstLineChars="0"/>
              <w:jc w:val="center"/>
              <w:textAlignment w:val="top"/>
              <w:rPr>
                <w:rFonts w:hint="eastAsia" w:ascii="宋体" w:hAnsi="宋体" w:cs="宋体"/>
                <w:i w:val="0"/>
                <w:iCs w:val="0"/>
                <w:color w:val="auto"/>
                <w:kern w:val="0"/>
                <w:sz w:val="24"/>
                <w:szCs w:val="24"/>
                <w:u w:val="none"/>
                <w:lang w:val="en-US" w:eastAsia="zh-CN" w:bidi="ar"/>
              </w:rPr>
            </w:pPr>
          </w:p>
        </w:tc>
        <w:tc>
          <w:tcPr>
            <w:tcW w:w="1105" w:type="dxa"/>
            <w:tcBorders>
              <w:top w:val="single" w:color="auto" w:sz="4" w:space="0"/>
              <w:left w:val="single" w:color="auto" w:sz="4" w:space="0"/>
              <w:bottom w:val="single" w:color="auto" w:sz="4" w:space="0"/>
              <w:right w:val="single" w:color="auto" w:sz="4" w:space="0"/>
            </w:tcBorders>
            <w:noWrap/>
            <w:vAlign w:val="top"/>
          </w:tcPr>
          <w:p w14:paraId="583F01B6">
            <w:pPr>
              <w:keepNext w:val="0"/>
              <w:keepLines w:val="0"/>
              <w:widowControl/>
              <w:suppressLineNumbers w:val="0"/>
              <w:ind w:left="0" w:leftChars="0" w:right="0" w:rightChars="0" w:firstLine="0" w:firstLineChars="0"/>
              <w:jc w:val="center"/>
              <w:textAlignment w:val="top"/>
              <w:rPr>
                <w:rFonts w:hint="eastAsia" w:ascii="宋体" w:hAnsi="宋体" w:cs="宋体"/>
                <w:i w:val="0"/>
                <w:iCs w:val="0"/>
                <w:color w:val="auto"/>
                <w:kern w:val="0"/>
                <w:sz w:val="24"/>
                <w:szCs w:val="24"/>
                <w:u w:val="none"/>
                <w:lang w:val="en-US" w:eastAsia="zh-CN" w:bidi="ar"/>
              </w:rPr>
            </w:pPr>
          </w:p>
        </w:tc>
        <w:tc>
          <w:tcPr>
            <w:tcW w:w="1549" w:type="dxa"/>
            <w:tcBorders>
              <w:top w:val="single" w:color="auto" w:sz="4" w:space="0"/>
              <w:left w:val="single" w:color="auto" w:sz="4" w:space="0"/>
              <w:bottom w:val="single" w:color="auto" w:sz="4" w:space="0"/>
              <w:right w:val="single" w:color="auto" w:sz="4" w:space="0"/>
            </w:tcBorders>
            <w:noWrap/>
            <w:vAlign w:val="top"/>
          </w:tcPr>
          <w:p w14:paraId="0848311D">
            <w:pPr>
              <w:keepNext w:val="0"/>
              <w:keepLines w:val="0"/>
              <w:widowControl/>
              <w:suppressLineNumbers w:val="0"/>
              <w:ind w:left="0" w:leftChars="0" w:right="0" w:rightChars="0" w:firstLine="0" w:firstLineChars="0"/>
              <w:jc w:val="center"/>
              <w:textAlignment w:val="top"/>
              <w:rPr>
                <w:rFonts w:hint="eastAsia" w:ascii="宋体" w:hAnsi="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6%</w:t>
            </w:r>
          </w:p>
        </w:tc>
      </w:tr>
      <w:tr w14:paraId="664174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93" w:type="dxa"/>
            <w:tcBorders>
              <w:top w:val="single" w:color="auto" w:sz="4" w:space="0"/>
              <w:left w:val="single" w:color="auto" w:sz="4" w:space="0"/>
              <w:bottom w:val="single" w:color="auto" w:sz="4" w:space="0"/>
              <w:right w:val="single" w:color="auto" w:sz="4" w:space="0"/>
            </w:tcBorders>
            <w:noWrap/>
            <w:vAlign w:val="top"/>
          </w:tcPr>
          <w:p w14:paraId="05612D62">
            <w:pPr>
              <w:keepNext w:val="0"/>
              <w:keepLines w:val="0"/>
              <w:widowControl/>
              <w:suppressLineNumbers w:val="0"/>
              <w:ind w:left="0" w:leftChars="0" w:right="0" w:rightChars="0" w:firstLine="0" w:firstLineChars="0"/>
              <w:jc w:val="center"/>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w:t>
            </w:r>
          </w:p>
        </w:tc>
        <w:tc>
          <w:tcPr>
            <w:tcW w:w="2514" w:type="dxa"/>
            <w:tcBorders>
              <w:top w:val="single" w:color="auto" w:sz="4" w:space="0"/>
              <w:left w:val="single" w:color="auto" w:sz="4" w:space="0"/>
              <w:bottom w:val="single" w:color="auto" w:sz="4" w:space="0"/>
              <w:right w:val="single" w:color="auto" w:sz="4" w:space="0"/>
            </w:tcBorders>
            <w:noWrap/>
            <w:vAlign w:val="top"/>
          </w:tcPr>
          <w:p w14:paraId="65C8D784">
            <w:pPr>
              <w:keepNext w:val="0"/>
              <w:keepLines w:val="0"/>
              <w:widowControl/>
              <w:suppressLineNumbers w:val="0"/>
              <w:ind w:left="0" w:leftChars="0" w:right="0" w:rightChars="0" w:firstLine="0" w:firstLineChars="0"/>
              <w:jc w:val="center"/>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网络通信</w:t>
            </w:r>
          </w:p>
        </w:tc>
        <w:tc>
          <w:tcPr>
            <w:tcW w:w="956" w:type="dxa"/>
            <w:tcBorders>
              <w:top w:val="single" w:color="auto" w:sz="4" w:space="0"/>
              <w:left w:val="single" w:color="auto" w:sz="4" w:space="0"/>
              <w:bottom w:val="single" w:color="auto" w:sz="4" w:space="0"/>
              <w:right w:val="single" w:color="auto" w:sz="4" w:space="0"/>
            </w:tcBorders>
            <w:noWrap/>
            <w:vAlign w:val="top"/>
          </w:tcPr>
          <w:p w14:paraId="272C8C2C">
            <w:pPr>
              <w:keepNext w:val="0"/>
              <w:keepLines w:val="0"/>
              <w:widowControl/>
              <w:suppressLineNumbers w:val="0"/>
              <w:ind w:left="0" w:leftChars="0" w:right="0" w:rightChars="0" w:firstLine="0" w:firstLineChars="0"/>
              <w:jc w:val="center"/>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w:t>
            </w:r>
          </w:p>
        </w:tc>
        <w:tc>
          <w:tcPr>
            <w:tcW w:w="1327" w:type="dxa"/>
            <w:tcBorders>
              <w:top w:val="single" w:color="auto" w:sz="4" w:space="0"/>
              <w:left w:val="single" w:color="auto" w:sz="4" w:space="0"/>
              <w:bottom w:val="single" w:color="auto" w:sz="4" w:space="0"/>
              <w:right w:val="single" w:color="auto" w:sz="4" w:space="0"/>
            </w:tcBorders>
            <w:noWrap/>
            <w:vAlign w:val="top"/>
          </w:tcPr>
          <w:p w14:paraId="3601C601">
            <w:pPr>
              <w:keepNext w:val="0"/>
              <w:keepLines w:val="0"/>
              <w:widowControl/>
              <w:suppressLineNumbers w:val="0"/>
              <w:ind w:left="0" w:leftChars="0" w:right="0" w:rightChars="0" w:firstLine="0" w:firstLineChars="0"/>
              <w:jc w:val="center"/>
              <w:textAlignment w:val="top"/>
              <w:rPr>
                <w:rFonts w:hint="eastAsia" w:ascii="宋体" w:hAnsi="宋体" w:eastAsia="宋体" w:cs="宋体"/>
                <w:i w:val="0"/>
                <w:iCs w:val="0"/>
                <w:color w:val="auto"/>
                <w:sz w:val="24"/>
                <w:szCs w:val="24"/>
                <w:u w:val="none"/>
              </w:rPr>
            </w:pPr>
            <w:r>
              <w:rPr>
                <w:rFonts w:hint="eastAsia" w:ascii="宋体" w:hAnsi="宋体" w:cs="宋体"/>
                <w:i w:val="0"/>
                <w:iCs w:val="0"/>
                <w:color w:val="auto"/>
                <w:kern w:val="0"/>
                <w:sz w:val="24"/>
                <w:szCs w:val="24"/>
                <w:u w:val="none"/>
                <w:lang w:val="en-US" w:eastAsia="zh-CN" w:bidi="ar"/>
              </w:rPr>
              <w:t>月</w:t>
            </w:r>
          </w:p>
        </w:tc>
        <w:tc>
          <w:tcPr>
            <w:tcW w:w="1104" w:type="dxa"/>
            <w:tcBorders>
              <w:top w:val="single" w:color="auto" w:sz="4" w:space="0"/>
              <w:left w:val="single" w:color="auto" w:sz="4" w:space="0"/>
              <w:bottom w:val="single" w:color="auto" w:sz="4" w:space="0"/>
              <w:right w:val="single" w:color="auto" w:sz="4" w:space="0"/>
            </w:tcBorders>
            <w:noWrap/>
            <w:vAlign w:val="top"/>
          </w:tcPr>
          <w:p w14:paraId="3F187055">
            <w:pPr>
              <w:keepNext w:val="0"/>
              <w:keepLines w:val="0"/>
              <w:widowControl/>
              <w:suppressLineNumbers w:val="0"/>
              <w:ind w:left="0" w:leftChars="0" w:right="0" w:rightChars="0" w:firstLine="0" w:firstLineChars="0"/>
              <w:jc w:val="center"/>
              <w:textAlignment w:val="top"/>
              <w:rPr>
                <w:rFonts w:hint="eastAsia" w:ascii="宋体" w:hAnsi="宋体" w:cs="宋体"/>
                <w:i w:val="0"/>
                <w:iCs w:val="0"/>
                <w:color w:val="auto"/>
                <w:kern w:val="0"/>
                <w:sz w:val="24"/>
                <w:szCs w:val="24"/>
                <w:u w:val="none"/>
                <w:lang w:val="en-US" w:eastAsia="zh-CN" w:bidi="ar"/>
              </w:rPr>
            </w:pPr>
          </w:p>
        </w:tc>
        <w:tc>
          <w:tcPr>
            <w:tcW w:w="1105" w:type="dxa"/>
            <w:tcBorders>
              <w:top w:val="single" w:color="auto" w:sz="4" w:space="0"/>
              <w:left w:val="single" w:color="auto" w:sz="4" w:space="0"/>
              <w:bottom w:val="single" w:color="auto" w:sz="4" w:space="0"/>
              <w:right w:val="single" w:color="auto" w:sz="4" w:space="0"/>
            </w:tcBorders>
            <w:noWrap/>
            <w:vAlign w:val="top"/>
          </w:tcPr>
          <w:p w14:paraId="62EFF067">
            <w:pPr>
              <w:keepNext w:val="0"/>
              <w:keepLines w:val="0"/>
              <w:widowControl/>
              <w:suppressLineNumbers w:val="0"/>
              <w:ind w:left="0" w:leftChars="0" w:right="0" w:rightChars="0" w:firstLine="0" w:firstLineChars="0"/>
              <w:jc w:val="center"/>
              <w:textAlignment w:val="top"/>
              <w:rPr>
                <w:rFonts w:hint="eastAsia" w:ascii="宋体" w:hAnsi="宋体" w:cs="宋体"/>
                <w:i w:val="0"/>
                <w:iCs w:val="0"/>
                <w:color w:val="auto"/>
                <w:kern w:val="0"/>
                <w:sz w:val="24"/>
                <w:szCs w:val="24"/>
                <w:u w:val="none"/>
                <w:lang w:val="en-US" w:eastAsia="zh-CN" w:bidi="ar"/>
              </w:rPr>
            </w:pPr>
          </w:p>
        </w:tc>
        <w:tc>
          <w:tcPr>
            <w:tcW w:w="1549" w:type="dxa"/>
            <w:tcBorders>
              <w:top w:val="single" w:color="auto" w:sz="4" w:space="0"/>
              <w:left w:val="single" w:color="auto" w:sz="4" w:space="0"/>
              <w:bottom w:val="single" w:color="auto" w:sz="4" w:space="0"/>
              <w:right w:val="single" w:color="auto" w:sz="4" w:space="0"/>
            </w:tcBorders>
            <w:noWrap/>
            <w:vAlign w:val="top"/>
          </w:tcPr>
          <w:p w14:paraId="03D37640">
            <w:pPr>
              <w:keepNext w:val="0"/>
              <w:keepLines w:val="0"/>
              <w:widowControl/>
              <w:suppressLineNumbers w:val="0"/>
              <w:ind w:left="0" w:leftChars="0" w:right="0" w:rightChars="0" w:firstLine="0" w:firstLineChars="0"/>
              <w:jc w:val="center"/>
              <w:textAlignment w:val="top"/>
              <w:rPr>
                <w:rFonts w:hint="eastAsia" w:ascii="宋体" w:hAnsi="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6%</w:t>
            </w:r>
          </w:p>
        </w:tc>
      </w:tr>
    </w:tbl>
    <w:p w14:paraId="2901873E">
      <w:pPr>
        <w:keepNext w:val="0"/>
        <w:keepLines w:val="0"/>
        <w:widowControl/>
        <w:suppressLineNumbers w:val="0"/>
        <w:jc w:val="left"/>
        <w:textAlignment w:val="center"/>
        <w:rPr>
          <w:rFonts w:hint="eastAsia" w:ascii="Times New Roman" w:hAnsi="Times New Roman" w:eastAsia="仿宋_GB2312" w:cs="Times New Roman"/>
          <w:b/>
          <w:bCs/>
          <w:color w:val="auto"/>
          <w:kern w:val="2"/>
          <w:sz w:val="32"/>
          <w:szCs w:val="32"/>
          <w:lang w:val="en-US" w:eastAsia="zh-CN" w:bidi="ar-SA"/>
        </w:rPr>
      </w:pPr>
      <w:r>
        <w:rPr>
          <w:rFonts w:hint="eastAsia" w:ascii="Times New Roman" w:hAnsi="Times New Roman" w:eastAsia="仿宋_GB2312" w:cs="Times New Roman"/>
          <w:b/>
          <w:bCs/>
          <w:color w:val="auto"/>
          <w:kern w:val="2"/>
          <w:sz w:val="32"/>
          <w:szCs w:val="32"/>
          <w:lang w:val="en-US" w:eastAsia="zh-CN" w:bidi="ar-SA"/>
        </w:rPr>
        <w:t>总报价（含税总价）：人民币__________元（¥：__________）</w:t>
      </w:r>
    </w:p>
    <w:p w14:paraId="419B85D0">
      <w:pPr>
        <w:keepNext w:val="0"/>
        <w:keepLines w:val="0"/>
        <w:widowControl/>
        <w:suppressLineNumbers w:val="0"/>
        <w:jc w:val="left"/>
        <w:textAlignment w:val="center"/>
        <w:rPr>
          <w:rFonts w:hint="eastAsia" w:ascii="Times New Roman" w:hAnsi="Times New Roman" w:eastAsia="仿宋_GB2312" w:cs="Times New Roman"/>
          <w:b/>
          <w:bCs/>
          <w:color w:val="auto"/>
          <w:kern w:val="2"/>
          <w:sz w:val="32"/>
          <w:szCs w:val="32"/>
          <w:lang w:val="en-US" w:eastAsia="zh-CN" w:bidi="ar-SA"/>
        </w:rPr>
      </w:pPr>
      <w:r>
        <w:rPr>
          <w:rFonts w:hint="eastAsia" w:ascii="Times New Roman" w:hAnsi="Times New Roman" w:eastAsia="仿宋_GB2312" w:cs="Times New Roman"/>
          <w:b/>
          <w:bCs/>
          <w:color w:val="auto"/>
          <w:kern w:val="2"/>
          <w:sz w:val="32"/>
          <w:szCs w:val="32"/>
          <w:lang w:val="en-US" w:eastAsia="zh-CN" w:bidi="ar-SA"/>
        </w:rPr>
        <w:t>特别说明：1.所有报价为含税、交付实施、含售后一站式最终价格；</w:t>
      </w:r>
    </w:p>
    <w:p w14:paraId="55232B38">
      <w:pPr>
        <w:keepNext w:val="0"/>
        <w:keepLines w:val="0"/>
        <w:widowControl/>
        <w:numPr>
          <w:ilvl w:val="0"/>
          <w:numId w:val="0"/>
        </w:numPr>
        <w:suppressLineNumbers w:val="0"/>
        <w:ind w:firstLine="1606" w:firstLineChars="500"/>
        <w:jc w:val="left"/>
        <w:textAlignment w:val="center"/>
        <w:rPr>
          <w:rFonts w:hint="eastAsia" w:ascii="Times New Roman" w:hAnsi="Times New Roman" w:eastAsia="仿宋_GB2312" w:cs="Times New Roman"/>
          <w:b/>
          <w:bCs/>
          <w:color w:val="auto"/>
          <w:kern w:val="2"/>
          <w:sz w:val="32"/>
          <w:szCs w:val="32"/>
          <w:lang w:val="en-US" w:eastAsia="zh-CN" w:bidi="ar-SA"/>
        </w:rPr>
      </w:pPr>
      <w:r>
        <w:rPr>
          <w:rFonts w:hint="eastAsia" w:ascii="Times New Roman" w:hAnsi="Times New Roman" w:eastAsia="仿宋_GB2312" w:cs="Times New Roman"/>
          <w:b/>
          <w:bCs/>
          <w:color w:val="auto"/>
          <w:kern w:val="2"/>
          <w:sz w:val="32"/>
          <w:szCs w:val="32"/>
          <w:lang w:val="en-US" w:eastAsia="zh-CN" w:bidi="ar-SA"/>
        </w:rPr>
        <w:t>2.所有产品均符合国家质量标准，可随时接受抽检验收；</w:t>
      </w:r>
    </w:p>
    <w:p w14:paraId="0199FBBA">
      <w:pPr>
        <w:keepNext w:val="0"/>
        <w:keepLines w:val="0"/>
        <w:widowControl/>
        <w:numPr>
          <w:ilvl w:val="0"/>
          <w:numId w:val="0"/>
        </w:numPr>
        <w:suppressLineNumbers w:val="0"/>
        <w:ind w:firstLine="1606" w:firstLineChars="500"/>
        <w:jc w:val="left"/>
        <w:textAlignment w:val="center"/>
        <w:rPr>
          <w:rFonts w:hint="default" w:ascii="Times New Roman" w:hAnsi="Times New Roman" w:eastAsia="仿宋_GB2312" w:cs="Times New Roman"/>
          <w:b/>
          <w:bCs/>
          <w:color w:val="auto"/>
          <w:kern w:val="2"/>
          <w:sz w:val="32"/>
          <w:szCs w:val="32"/>
          <w:lang w:val="en-US" w:eastAsia="zh-CN" w:bidi="ar-SA"/>
        </w:rPr>
      </w:pPr>
    </w:p>
    <w:p w14:paraId="4FB86976">
      <w:pPr>
        <w:keepNext w:val="0"/>
        <w:keepLines w:val="0"/>
        <w:widowControl/>
        <w:suppressLineNumbers w:val="0"/>
        <w:jc w:val="left"/>
        <w:textAlignment w:val="center"/>
        <w:rPr>
          <w:rFonts w:hint="eastAsia" w:ascii="Times New Roman" w:hAnsi="Times New Roman" w:eastAsia="仿宋_GB2312" w:cs="Times New Roman"/>
          <w:b/>
          <w:bCs/>
          <w:color w:val="auto"/>
          <w:kern w:val="2"/>
          <w:sz w:val="32"/>
          <w:szCs w:val="32"/>
          <w:lang w:val="en-US" w:eastAsia="zh-CN" w:bidi="ar-SA"/>
        </w:rPr>
      </w:pPr>
    </w:p>
    <w:p w14:paraId="1802D996">
      <w:pPr>
        <w:keepNext w:val="0"/>
        <w:keepLines w:val="0"/>
        <w:widowControl/>
        <w:suppressLineNumbers w:val="0"/>
        <w:jc w:val="left"/>
        <w:textAlignment w:val="center"/>
        <w:rPr>
          <w:rFonts w:hint="eastAsia" w:ascii="Times New Roman" w:hAnsi="Times New Roman" w:eastAsia="仿宋_GB2312" w:cs="Times New Roman"/>
          <w:b/>
          <w:bCs/>
          <w:color w:val="auto"/>
          <w:kern w:val="2"/>
          <w:sz w:val="32"/>
          <w:szCs w:val="32"/>
          <w:lang w:val="en-US" w:eastAsia="zh-CN" w:bidi="ar-SA"/>
        </w:rPr>
      </w:pPr>
      <w:r>
        <w:rPr>
          <w:rFonts w:hint="eastAsia" w:ascii="Times New Roman" w:hAnsi="Times New Roman" w:eastAsia="仿宋_GB2312" w:cs="Times New Roman"/>
          <w:b/>
          <w:bCs/>
          <w:color w:val="auto"/>
          <w:kern w:val="2"/>
          <w:sz w:val="32"/>
          <w:szCs w:val="32"/>
          <w:lang w:val="en-US" w:eastAsia="zh-CN" w:bidi="ar-SA"/>
        </w:rPr>
        <w:t>响应单位（盖章）：_______________</w:t>
      </w:r>
    </w:p>
    <w:p w14:paraId="7148CFF3">
      <w:pPr>
        <w:keepNext w:val="0"/>
        <w:keepLines w:val="0"/>
        <w:widowControl/>
        <w:suppressLineNumbers w:val="0"/>
        <w:jc w:val="left"/>
        <w:textAlignment w:val="center"/>
        <w:rPr>
          <w:rFonts w:hint="eastAsia" w:ascii="Times New Roman" w:hAnsi="Times New Roman" w:eastAsia="仿宋_GB2312" w:cs="Times New Roman"/>
          <w:b/>
          <w:bCs/>
          <w:color w:val="auto"/>
          <w:kern w:val="2"/>
          <w:sz w:val="32"/>
          <w:szCs w:val="32"/>
          <w:lang w:val="en-US" w:eastAsia="zh-CN" w:bidi="ar-SA"/>
        </w:rPr>
      </w:pPr>
      <w:r>
        <w:rPr>
          <w:rFonts w:hint="eastAsia" w:ascii="Times New Roman" w:hAnsi="Times New Roman" w:eastAsia="仿宋_GB2312" w:cs="Times New Roman"/>
          <w:b/>
          <w:bCs/>
          <w:color w:val="auto"/>
          <w:kern w:val="2"/>
          <w:sz w:val="32"/>
          <w:szCs w:val="32"/>
          <w:lang w:val="en-US" w:eastAsia="zh-CN" w:bidi="ar-SA"/>
        </w:rPr>
        <w:t>日期：2026年____月____日</w:t>
      </w:r>
    </w:p>
    <w:p w14:paraId="7E71A7C3">
      <w:pPr>
        <w:pStyle w:val="2"/>
        <w:jc w:val="center"/>
        <w:rPr>
          <w:rFonts w:hint="eastAsia" w:ascii="Times New Roman" w:hAnsi="Times New Roman" w:eastAsia="仿宋_GB2312" w:cs="Times New Roman"/>
          <w:b/>
          <w:bCs/>
          <w:color w:val="auto"/>
          <w:kern w:val="2"/>
          <w:sz w:val="32"/>
          <w:szCs w:val="32"/>
          <w:lang w:val="en-US" w:eastAsia="zh-CN" w:bidi="ar-SA"/>
        </w:rPr>
        <w:sectPr>
          <w:pgSz w:w="11906" w:h="16838"/>
          <w:pgMar w:top="1134" w:right="1134" w:bottom="1134" w:left="1134" w:header="851" w:footer="992" w:gutter="0"/>
          <w:pgNumType w:fmt="decimal"/>
          <w:cols w:space="720" w:num="1"/>
          <w:rtlGutter w:val="0"/>
          <w:docGrid w:type="lines" w:linePitch="321" w:charSpace="0"/>
        </w:sectPr>
      </w:pPr>
    </w:p>
    <w:p w14:paraId="6D459F3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bCs/>
          <w:color w:val="auto"/>
          <w:sz w:val="44"/>
          <w:szCs w:val="44"/>
          <w:lang w:val="en-US" w:eastAsia="zh-CN"/>
        </w:rPr>
      </w:pPr>
      <w:r>
        <w:rPr>
          <w:rFonts w:hint="eastAsia" w:ascii="方正小标宋简体" w:hAnsi="方正小标宋简体" w:eastAsia="方正小标宋简体" w:cs="方正小标宋简体"/>
          <w:b/>
          <w:bCs/>
          <w:color w:val="auto"/>
          <w:sz w:val="44"/>
          <w:szCs w:val="44"/>
          <w:lang w:val="en-US" w:eastAsia="zh-CN"/>
        </w:rPr>
        <w:t>五、资格审查自查承诺函</w:t>
      </w:r>
    </w:p>
    <w:p w14:paraId="568A0353">
      <w:pPr>
        <w:pStyle w:val="13"/>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textAlignment w:val="auto"/>
        <w:rPr>
          <w:rFonts w:hint="default" w:ascii="Times New Roman" w:hAnsi="Times New Roman" w:eastAsia="仿宋_GB2312" w:cs="Times New Roman"/>
          <w:b/>
          <w:bCs/>
          <w:color w:val="auto"/>
          <w:kern w:val="2"/>
          <w:sz w:val="32"/>
          <w:szCs w:val="32"/>
          <w:lang w:val="en-US" w:eastAsia="zh-CN" w:bidi="ar-SA"/>
        </w:rPr>
      </w:pPr>
    </w:p>
    <w:p w14:paraId="0AE40B97">
      <w:pPr>
        <w:pStyle w:val="13"/>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textAlignment w:val="auto"/>
        <w:rPr>
          <w:rFonts w:hint="default" w:ascii="Times New Roman" w:hAnsi="Times New Roman" w:eastAsia="仿宋_GB2312" w:cs="Times New Roman"/>
          <w:b/>
          <w:bCs/>
          <w:color w:val="auto"/>
          <w:kern w:val="2"/>
          <w:sz w:val="32"/>
          <w:szCs w:val="32"/>
          <w:lang w:val="en-US" w:eastAsia="zh-CN" w:bidi="ar-SA"/>
        </w:rPr>
      </w:pPr>
      <w:r>
        <w:rPr>
          <w:rFonts w:hint="default" w:ascii="Times New Roman" w:hAnsi="Times New Roman" w:eastAsia="仿宋_GB2312" w:cs="Times New Roman"/>
          <w:b/>
          <w:bCs/>
          <w:color w:val="auto"/>
          <w:kern w:val="2"/>
          <w:sz w:val="32"/>
          <w:szCs w:val="32"/>
          <w:lang w:val="en-US" w:eastAsia="zh-CN" w:bidi="ar-SA"/>
        </w:rPr>
        <w:t>致：</w:t>
      </w:r>
      <w:r>
        <w:rPr>
          <w:rFonts w:hint="eastAsia" w:ascii="Times New Roman" w:hAnsi="Times New Roman" w:eastAsia="仿宋_GB2312" w:cs="Times New Roman"/>
          <w:b/>
          <w:bCs/>
          <w:color w:val="auto"/>
          <w:kern w:val="2"/>
          <w:sz w:val="32"/>
          <w:szCs w:val="32"/>
          <w:lang w:val="en-US" w:eastAsia="zh-CN" w:bidi="ar-SA"/>
        </w:rPr>
        <w:t>四川省南充市保安服务有限公司</w:t>
      </w:r>
    </w:p>
    <w:p w14:paraId="3294889C">
      <w:pPr>
        <w:pStyle w:val="13"/>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leftChars="0" w:firstLine="643" w:firstLineChars="200"/>
        <w:textAlignment w:val="auto"/>
        <w:rPr>
          <w:rFonts w:hint="default" w:ascii="Times New Roman" w:hAnsi="Times New Roman" w:eastAsia="仿宋_GB2312" w:cs="Times New Roman"/>
          <w:b/>
          <w:bCs/>
          <w:color w:val="auto"/>
          <w:kern w:val="2"/>
          <w:sz w:val="32"/>
          <w:szCs w:val="32"/>
          <w:lang w:val="en-US" w:eastAsia="zh-CN" w:bidi="ar-SA"/>
        </w:rPr>
      </w:pPr>
      <w:r>
        <w:rPr>
          <w:rFonts w:hint="default" w:ascii="Times New Roman" w:hAnsi="Times New Roman" w:eastAsia="仿宋_GB2312" w:cs="Times New Roman"/>
          <w:b/>
          <w:bCs/>
          <w:color w:val="auto"/>
          <w:kern w:val="2"/>
          <w:sz w:val="32"/>
          <w:szCs w:val="32"/>
          <w:lang w:val="en-US" w:eastAsia="zh-CN" w:bidi="ar-SA"/>
        </w:rPr>
        <w:t>我方针对本次</w:t>
      </w:r>
      <w:r>
        <w:rPr>
          <w:rFonts w:hint="eastAsia" w:ascii="Times New Roman" w:hAnsi="Times New Roman" w:eastAsia="仿宋_GB2312" w:cs="Times New Roman"/>
          <w:b/>
          <w:bCs/>
          <w:color w:val="auto"/>
          <w:kern w:val="2"/>
          <w:sz w:val="32"/>
          <w:szCs w:val="32"/>
          <w:u w:val="single"/>
          <w:lang w:val="en-US" w:eastAsia="zh-CN" w:bidi="ar-SA"/>
        </w:rPr>
        <w:t>保安公司</w:t>
      </w:r>
      <w:r>
        <w:rPr>
          <w:rFonts w:hint="eastAsia" w:ascii="Times New Roman" w:hAnsi="Times New Roman" w:eastAsia="仿宋" w:cs="Times New Roman"/>
          <w:b/>
          <w:bCs/>
          <w:color w:val="auto"/>
          <w:sz w:val="32"/>
          <w:szCs w:val="32"/>
          <w:u w:val="single"/>
          <w:lang w:val="en-US" w:eastAsia="zh-CN"/>
        </w:rPr>
        <w:t>项目协同综合管理系统采购项目</w:t>
      </w:r>
      <w:r>
        <w:rPr>
          <w:rFonts w:hint="default" w:ascii="Times New Roman" w:hAnsi="Times New Roman" w:eastAsia="仿宋_GB2312" w:cs="Times New Roman"/>
          <w:b/>
          <w:bCs/>
          <w:color w:val="auto"/>
          <w:kern w:val="2"/>
          <w:sz w:val="32"/>
          <w:szCs w:val="32"/>
          <w:lang w:val="en-US" w:eastAsia="zh-CN" w:bidi="ar-SA"/>
        </w:rPr>
        <w:t>，郑重自查并承诺如下：</w:t>
      </w:r>
    </w:p>
    <w:p w14:paraId="3C5ECF58">
      <w:pPr>
        <w:pStyle w:val="13"/>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leftChars="0" w:firstLine="643" w:firstLineChars="200"/>
        <w:textAlignment w:val="auto"/>
        <w:rPr>
          <w:rFonts w:hint="default" w:ascii="Times New Roman" w:hAnsi="Times New Roman" w:eastAsia="仿宋_GB2312" w:cs="Times New Roman"/>
          <w:b/>
          <w:bCs/>
          <w:color w:val="auto"/>
          <w:kern w:val="2"/>
          <w:sz w:val="32"/>
          <w:szCs w:val="32"/>
          <w:lang w:val="en-US" w:eastAsia="zh-CN" w:bidi="ar-SA"/>
        </w:rPr>
      </w:pPr>
      <w:r>
        <w:rPr>
          <w:rFonts w:hint="eastAsia" w:ascii="Times New Roman" w:hAnsi="Times New Roman" w:eastAsia="仿宋_GB2312" w:cs="Times New Roman"/>
          <w:b/>
          <w:bCs/>
          <w:color w:val="auto"/>
          <w:kern w:val="2"/>
          <w:sz w:val="32"/>
          <w:szCs w:val="32"/>
          <w:lang w:val="en-US" w:eastAsia="zh-CN" w:bidi="ar-SA"/>
        </w:rPr>
        <w:t>1.</w:t>
      </w:r>
      <w:r>
        <w:rPr>
          <w:rFonts w:hint="default" w:ascii="Times New Roman" w:hAnsi="Times New Roman" w:eastAsia="仿宋_GB2312" w:cs="Times New Roman"/>
          <w:b/>
          <w:bCs/>
          <w:color w:val="auto"/>
          <w:kern w:val="2"/>
          <w:sz w:val="32"/>
          <w:szCs w:val="32"/>
          <w:lang w:val="en-US" w:eastAsia="zh-CN" w:bidi="ar-SA"/>
        </w:rPr>
        <w:t>我方为合法存续经营主体，具备独立承担民事责任能力；</w:t>
      </w:r>
    </w:p>
    <w:p w14:paraId="6645CA1C">
      <w:pPr>
        <w:pStyle w:val="13"/>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leftChars="0" w:firstLine="643" w:firstLineChars="200"/>
        <w:textAlignment w:val="auto"/>
        <w:rPr>
          <w:rFonts w:hint="default" w:ascii="Times New Roman" w:hAnsi="Times New Roman" w:eastAsia="仿宋_GB2312" w:cs="Times New Roman"/>
          <w:b/>
          <w:bCs/>
          <w:color w:val="auto"/>
          <w:kern w:val="2"/>
          <w:sz w:val="32"/>
          <w:szCs w:val="32"/>
          <w:lang w:val="en-US" w:eastAsia="zh-CN" w:bidi="ar-SA"/>
        </w:rPr>
      </w:pPr>
      <w:r>
        <w:rPr>
          <w:rFonts w:hint="eastAsia" w:ascii="Times New Roman" w:hAnsi="Times New Roman" w:eastAsia="仿宋_GB2312" w:cs="Times New Roman"/>
          <w:b/>
          <w:bCs/>
          <w:color w:val="auto"/>
          <w:kern w:val="2"/>
          <w:sz w:val="32"/>
          <w:szCs w:val="32"/>
          <w:lang w:val="en-US" w:eastAsia="zh-CN" w:bidi="ar-SA"/>
        </w:rPr>
        <w:t>2.</w:t>
      </w:r>
      <w:r>
        <w:rPr>
          <w:rFonts w:hint="default" w:ascii="Times New Roman" w:hAnsi="Times New Roman" w:eastAsia="仿宋_GB2312" w:cs="Times New Roman"/>
          <w:b/>
          <w:bCs/>
          <w:color w:val="auto"/>
          <w:kern w:val="2"/>
          <w:sz w:val="32"/>
          <w:szCs w:val="32"/>
          <w:lang w:val="en-US" w:eastAsia="zh-CN" w:bidi="ar-SA"/>
        </w:rPr>
        <w:t>未被列入失信被执行人、重大税收违法失信主体、政府采购严重违法失信名单；</w:t>
      </w:r>
    </w:p>
    <w:p w14:paraId="0BB03EED">
      <w:pPr>
        <w:pStyle w:val="13"/>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leftChars="0" w:firstLine="643" w:firstLineChars="200"/>
        <w:textAlignment w:val="auto"/>
        <w:rPr>
          <w:rFonts w:hint="default" w:ascii="Times New Roman" w:hAnsi="Times New Roman" w:eastAsia="仿宋_GB2312" w:cs="Times New Roman"/>
          <w:b/>
          <w:bCs/>
          <w:color w:val="auto"/>
          <w:kern w:val="2"/>
          <w:sz w:val="32"/>
          <w:szCs w:val="32"/>
          <w:lang w:val="en-US" w:eastAsia="zh-CN" w:bidi="ar-SA"/>
        </w:rPr>
      </w:pPr>
      <w:r>
        <w:rPr>
          <w:rFonts w:hint="eastAsia" w:ascii="Times New Roman" w:hAnsi="Times New Roman" w:eastAsia="仿宋_GB2312" w:cs="Times New Roman"/>
          <w:b/>
          <w:bCs/>
          <w:color w:val="auto"/>
          <w:kern w:val="2"/>
          <w:sz w:val="32"/>
          <w:szCs w:val="32"/>
          <w:lang w:val="en-US" w:eastAsia="zh-CN" w:bidi="ar-SA"/>
        </w:rPr>
        <w:t>3</w:t>
      </w:r>
      <w:r>
        <w:rPr>
          <w:rFonts w:hint="default" w:ascii="Times New Roman" w:hAnsi="Times New Roman" w:eastAsia="仿宋_GB2312" w:cs="Times New Roman"/>
          <w:b/>
          <w:bCs/>
          <w:color w:val="auto"/>
          <w:kern w:val="2"/>
          <w:sz w:val="32"/>
          <w:szCs w:val="32"/>
          <w:lang w:val="en-US" w:eastAsia="zh-CN" w:bidi="ar-SA"/>
        </w:rPr>
        <w:t>不存在挂靠、围标、串标、虚假响应、弄虚作假等违规情形；</w:t>
      </w:r>
    </w:p>
    <w:p w14:paraId="0943FF60">
      <w:pPr>
        <w:pStyle w:val="13"/>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leftChars="0" w:firstLine="643" w:firstLineChars="200"/>
        <w:textAlignment w:val="auto"/>
        <w:rPr>
          <w:rFonts w:hint="default" w:ascii="Times New Roman" w:hAnsi="Times New Roman" w:eastAsia="仿宋_GB2312" w:cs="Times New Roman"/>
          <w:b/>
          <w:bCs/>
          <w:color w:val="auto"/>
          <w:kern w:val="2"/>
          <w:sz w:val="32"/>
          <w:szCs w:val="32"/>
          <w:lang w:val="en-US" w:eastAsia="zh-CN" w:bidi="ar-SA"/>
        </w:rPr>
      </w:pPr>
      <w:r>
        <w:rPr>
          <w:rFonts w:hint="eastAsia" w:ascii="Times New Roman" w:hAnsi="Times New Roman" w:eastAsia="仿宋_GB2312" w:cs="Times New Roman"/>
          <w:b/>
          <w:bCs/>
          <w:color w:val="auto"/>
          <w:kern w:val="2"/>
          <w:sz w:val="32"/>
          <w:szCs w:val="32"/>
          <w:lang w:val="en-US" w:eastAsia="zh-CN" w:bidi="ar-SA"/>
        </w:rPr>
        <w:t>4</w:t>
      </w:r>
      <w:r>
        <w:rPr>
          <w:rFonts w:hint="default" w:ascii="Times New Roman" w:hAnsi="Times New Roman" w:eastAsia="仿宋_GB2312" w:cs="Times New Roman"/>
          <w:b/>
          <w:bCs/>
          <w:color w:val="auto"/>
          <w:kern w:val="2"/>
          <w:sz w:val="32"/>
          <w:szCs w:val="32"/>
          <w:lang w:val="en-US" w:eastAsia="zh-CN" w:bidi="ar-SA"/>
        </w:rPr>
        <w:t>提交的所有资料真实、有效、完整，无伪造、涂改、隐瞒情况；</w:t>
      </w:r>
    </w:p>
    <w:p w14:paraId="32406673">
      <w:pPr>
        <w:pStyle w:val="13"/>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leftChars="0" w:firstLine="643" w:firstLineChars="200"/>
        <w:textAlignment w:val="auto"/>
        <w:rPr>
          <w:rFonts w:hint="default" w:ascii="Times New Roman" w:hAnsi="Times New Roman" w:eastAsia="仿宋_GB2312" w:cs="Times New Roman"/>
          <w:b/>
          <w:bCs/>
          <w:color w:val="auto"/>
          <w:kern w:val="2"/>
          <w:sz w:val="32"/>
          <w:szCs w:val="32"/>
          <w:lang w:val="en-US" w:eastAsia="zh-CN" w:bidi="ar-SA"/>
        </w:rPr>
      </w:pPr>
      <w:r>
        <w:rPr>
          <w:rFonts w:hint="eastAsia" w:ascii="Times New Roman" w:hAnsi="Times New Roman" w:eastAsia="仿宋_GB2312" w:cs="Times New Roman"/>
          <w:b/>
          <w:bCs/>
          <w:color w:val="auto"/>
          <w:kern w:val="2"/>
          <w:sz w:val="32"/>
          <w:szCs w:val="32"/>
          <w:lang w:val="en-US" w:eastAsia="zh-CN" w:bidi="ar-SA"/>
        </w:rPr>
        <w:t>5.</w:t>
      </w:r>
      <w:r>
        <w:rPr>
          <w:rFonts w:hint="default" w:ascii="Times New Roman" w:hAnsi="Times New Roman" w:eastAsia="仿宋_GB2312" w:cs="Times New Roman"/>
          <w:b/>
          <w:bCs/>
          <w:color w:val="auto"/>
          <w:kern w:val="2"/>
          <w:sz w:val="32"/>
          <w:szCs w:val="32"/>
          <w:lang w:val="en-US" w:eastAsia="zh-CN" w:bidi="ar-SA"/>
        </w:rPr>
        <w:t>完全满足本项目采购所有资格要求，无资格性不符情形</w:t>
      </w:r>
      <w:r>
        <w:rPr>
          <w:rFonts w:hint="eastAsia" w:ascii="Times New Roman" w:hAnsi="Times New Roman" w:eastAsia="仿宋_GB2312" w:cs="Times New Roman"/>
          <w:b/>
          <w:bCs/>
          <w:color w:val="auto"/>
          <w:kern w:val="2"/>
          <w:sz w:val="32"/>
          <w:szCs w:val="32"/>
          <w:lang w:val="en-US" w:eastAsia="zh-CN" w:bidi="ar-SA"/>
        </w:rPr>
        <w:t>；</w:t>
      </w:r>
    </w:p>
    <w:p w14:paraId="0F303258">
      <w:pPr>
        <w:pStyle w:val="13"/>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leftChars="0" w:firstLine="643" w:firstLineChars="200"/>
        <w:textAlignment w:val="auto"/>
        <w:rPr>
          <w:rFonts w:hint="default" w:ascii="Times New Roman" w:hAnsi="Times New Roman" w:eastAsia="仿宋_GB2312" w:cs="Times New Roman"/>
          <w:b/>
          <w:bCs/>
          <w:color w:val="auto"/>
          <w:kern w:val="2"/>
          <w:sz w:val="32"/>
          <w:szCs w:val="32"/>
          <w:lang w:val="en-US" w:eastAsia="zh-CN" w:bidi="ar-SA"/>
        </w:rPr>
      </w:pPr>
      <w:r>
        <w:rPr>
          <w:rFonts w:hint="eastAsia" w:ascii="Times New Roman" w:hAnsi="Times New Roman" w:eastAsia="仿宋_GB2312" w:cs="Times New Roman"/>
          <w:b/>
          <w:bCs/>
          <w:color w:val="auto"/>
          <w:kern w:val="2"/>
          <w:sz w:val="32"/>
          <w:szCs w:val="32"/>
          <w:lang w:val="en-US" w:eastAsia="zh-CN" w:bidi="ar-SA"/>
        </w:rPr>
        <w:t>6.</w:t>
      </w:r>
      <w:r>
        <w:rPr>
          <w:rFonts w:hint="default" w:ascii="Times New Roman" w:hAnsi="Times New Roman" w:eastAsia="仿宋_GB2312" w:cs="Times New Roman"/>
          <w:b/>
          <w:bCs/>
          <w:color w:val="auto"/>
          <w:kern w:val="2"/>
          <w:sz w:val="32"/>
          <w:szCs w:val="32"/>
          <w:lang w:val="en-US" w:eastAsia="zh-CN" w:bidi="ar-SA"/>
        </w:rPr>
        <w:t>若经查实存在不实，我方自愿放弃参选资格</w:t>
      </w:r>
      <w:r>
        <w:rPr>
          <w:rFonts w:hint="eastAsia" w:ascii="Times New Roman" w:hAnsi="Times New Roman" w:eastAsia="仿宋_GB2312" w:cs="Times New Roman"/>
          <w:b/>
          <w:bCs/>
          <w:color w:val="auto"/>
          <w:kern w:val="2"/>
          <w:sz w:val="32"/>
          <w:szCs w:val="32"/>
          <w:lang w:val="en-US" w:eastAsia="zh-CN" w:bidi="ar-SA"/>
        </w:rPr>
        <w:t>且</w:t>
      </w:r>
      <w:r>
        <w:rPr>
          <w:rFonts w:hint="default" w:ascii="Times New Roman" w:hAnsi="Times New Roman" w:eastAsia="仿宋_GB2312" w:cs="Times New Roman"/>
          <w:b/>
          <w:bCs/>
          <w:color w:val="auto"/>
          <w:kern w:val="2"/>
          <w:sz w:val="32"/>
          <w:szCs w:val="32"/>
          <w:lang w:val="en-US" w:eastAsia="zh-CN" w:bidi="ar-SA"/>
        </w:rPr>
        <w:t>承担全部责任。</w:t>
      </w:r>
    </w:p>
    <w:p w14:paraId="05313ACF">
      <w:pPr>
        <w:pStyle w:val="13"/>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leftChars="0" w:firstLine="643" w:firstLineChars="200"/>
        <w:textAlignment w:val="auto"/>
        <w:rPr>
          <w:rFonts w:hint="default" w:ascii="Times New Roman" w:hAnsi="Times New Roman" w:eastAsia="仿宋_GB2312" w:cs="Times New Roman"/>
          <w:b/>
          <w:bCs/>
          <w:color w:val="auto"/>
          <w:kern w:val="2"/>
          <w:sz w:val="32"/>
          <w:szCs w:val="32"/>
          <w:lang w:val="en-US" w:eastAsia="zh-CN" w:bidi="ar-SA"/>
        </w:rPr>
      </w:pPr>
    </w:p>
    <w:p w14:paraId="6D9C8E9C">
      <w:pPr>
        <w:pStyle w:val="13"/>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leftChars="0" w:firstLine="643" w:firstLineChars="200"/>
        <w:textAlignment w:val="auto"/>
        <w:rPr>
          <w:rFonts w:hint="default" w:ascii="Times New Roman" w:hAnsi="Times New Roman" w:eastAsia="仿宋_GB2312" w:cs="Times New Roman"/>
          <w:b/>
          <w:bCs/>
          <w:color w:val="auto"/>
          <w:kern w:val="2"/>
          <w:sz w:val="32"/>
          <w:szCs w:val="32"/>
          <w:lang w:val="en-US" w:eastAsia="zh-CN" w:bidi="ar-SA"/>
        </w:rPr>
      </w:pPr>
    </w:p>
    <w:p w14:paraId="1717B266">
      <w:pPr>
        <w:pStyle w:val="13"/>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leftChars="0" w:firstLine="643" w:firstLineChars="200"/>
        <w:textAlignment w:val="auto"/>
        <w:rPr>
          <w:rFonts w:hint="default" w:ascii="Times New Roman" w:hAnsi="Times New Roman" w:eastAsia="仿宋_GB2312" w:cs="Times New Roman"/>
          <w:b/>
          <w:bCs/>
          <w:color w:val="auto"/>
          <w:kern w:val="2"/>
          <w:sz w:val="32"/>
          <w:szCs w:val="32"/>
          <w:lang w:val="en-US" w:eastAsia="zh-CN" w:bidi="ar-SA"/>
        </w:rPr>
      </w:pPr>
      <w:r>
        <w:rPr>
          <w:rFonts w:hint="default" w:ascii="Times New Roman" w:hAnsi="Times New Roman" w:eastAsia="仿宋_GB2312" w:cs="Times New Roman"/>
          <w:b/>
          <w:bCs/>
          <w:color w:val="auto"/>
          <w:kern w:val="2"/>
          <w:sz w:val="32"/>
          <w:szCs w:val="32"/>
          <w:lang w:val="en-US" w:eastAsia="zh-CN" w:bidi="ar-SA"/>
        </w:rPr>
        <w:t>响应单位（盖章）：_______________</w:t>
      </w:r>
    </w:p>
    <w:p w14:paraId="7D8B611A">
      <w:pPr>
        <w:pStyle w:val="13"/>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leftChars="0" w:firstLine="643" w:firstLineChars="200"/>
        <w:textAlignment w:val="auto"/>
        <w:rPr>
          <w:rFonts w:hint="default" w:ascii="Times New Roman" w:hAnsi="Times New Roman" w:eastAsia="仿宋_GB2312" w:cs="Times New Roman"/>
          <w:b/>
          <w:bCs/>
          <w:color w:val="auto"/>
          <w:kern w:val="2"/>
          <w:sz w:val="32"/>
          <w:szCs w:val="32"/>
          <w:lang w:val="en-US" w:eastAsia="zh-CN" w:bidi="ar-SA"/>
        </w:rPr>
      </w:pPr>
      <w:r>
        <w:rPr>
          <w:rFonts w:hint="default" w:ascii="Times New Roman" w:hAnsi="Times New Roman" w:eastAsia="仿宋_GB2312" w:cs="Times New Roman"/>
          <w:b/>
          <w:bCs/>
          <w:color w:val="auto"/>
          <w:kern w:val="2"/>
          <w:sz w:val="32"/>
          <w:szCs w:val="32"/>
          <w:lang w:val="en-US" w:eastAsia="zh-CN" w:bidi="ar-SA"/>
        </w:rPr>
        <w:t>日期：2026年____月____日</w:t>
      </w:r>
    </w:p>
    <w:p w14:paraId="4C1C1BD8">
      <w:pPr>
        <w:pStyle w:val="13"/>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leftChars="0" w:firstLine="643" w:firstLineChars="200"/>
        <w:textAlignment w:val="auto"/>
        <w:rPr>
          <w:rFonts w:hint="default" w:ascii="Times New Roman" w:hAnsi="Times New Roman" w:eastAsia="仿宋_GB2312" w:cs="Times New Roman"/>
          <w:b/>
          <w:bCs/>
          <w:color w:val="auto"/>
          <w:kern w:val="2"/>
          <w:sz w:val="32"/>
          <w:szCs w:val="32"/>
          <w:lang w:val="en-US" w:eastAsia="zh-CN" w:bidi="ar-SA"/>
        </w:rPr>
      </w:pPr>
    </w:p>
    <w:p w14:paraId="3BC1F47B">
      <w:pPr>
        <w:pStyle w:val="2"/>
        <w:rPr>
          <w:rFonts w:hint="default" w:ascii="Times New Roman" w:hAnsi="Times New Roman" w:eastAsia="仿宋_GB2312" w:cs="Times New Roman"/>
          <w:b/>
          <w:bCs/>
          <w:color w:val="auto"/>
          <w:kern w:val="2"/>
          <w:sz w:val="32"/>
          <w:szCs w:val="32"/>
          <w:lang w:val="en-US" w:eastAsia="zh-CN" w:bidi="ar-SA"/>
        </w:rPr>
      </w:pPr>
    </w:p>
    <w:p w14:paraId="2E43154D">
      <w:pPr>
        <w:pStyle w:val="2"/>
        <w:rPr>
          <w:rFonts w:hint="default" w:ascii="Times New Roman" w:hAnsi="Times New Roman" w:eastAsia="仿宋_GB2312" w:cs="Times New Roman"/>
          <w:b/>
          <w:bCs/>
          <w:color w:val="auto"/>
          <w:kern w:val="2"/>
          <w:sz w:val="32"/>
          <w:szCs w:val="32"/>
          <w:lang w:val="en-US" w:eastAsia="zh-CN" w:bidi="ar-SA"/>
        </w:rPr>
      </w:pPr>
    </w:p>
    <w:p w14:paraId="036DEE0A">
      <w:pPr>
        <w:pStyle w:val="2"/>
        <w:jc w:val="center"/>
        <w:rPr>
          <w:rFonts w:hint="eastAsia" w:ascii="Times New Roman" w:hAnsi="Times New Roman" w:eastAsia="仿宋_GB2312" w:cs="Times New Roman"/>
          <w:b/>
          <w:bCs/>
          <w:color w:val="auto"/>
          <w:kern w:val="2"/>
          <w:sz w:val="32"/>
          <w:szCs w:val="32"/>
          <w:lang w:val="en-US" w:eastAsia="zh-CN" w:bidi="ar-SA"/>
        </w:rPr>
        <w:sectPr>
          <w:pgSz w:w="11906" w:h="16838"/>
          <w:pgMar w:top="1134" w:right="1134" w:bottom="1134" w:left="1134" w:header="851" w:footer="992" w:gutter="0"/>
          <w:pgNumType w:fmt="decimal"/>
          <w:cols w:space="720" w:num="1"/>
          <w:rtlGutter w:val="0"/>
          <w:docGrid w:type="lines" w:linePitch="321" w:charSpace="0"/>
        </w:sectPr>
      </w:pPr>
    </w:p>
    <w:p w14:paraId="1A369D8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bCs/>
          <w:color w:val="auto"/>
          <w:sz w:val="44"/>
          <w:szCs w:val="44"/>
          <w:lang w:val="en-US" w:eastAsia="zh-CN"/>
        </w:rPr>
      </w:pPr>
      <w:r>
        <w:rPr>
          <w:rFonts w:hint="eastAsia" w:ascii="方正小标宋简体" w:hAnsi="方正小标宋简体" w:eastAsia="方正小标宋简体" w:cs="方正小标宋简体"/>
          <w:b/>
          <w:bCs/>
          <w:color w:val="auto"/>
          <w:sz w:val="44"/>
          <w:szCs w:val="44"/>
          <w:lang w:val="en-US" w:eastAsia="zh-CN"/>
        </w:rPr>
        <w:t>七、无违法违规及诚信承诺书</w:t>
      </w:r>
    </w:p>
    <w:p w14:paraId="05313586">
      <w:pPr>
        <w:pStyle w:val="13"/>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leftChars="0" w:firstLine="643" w:firstLineChars="200"/>
        <w:textAlignment w:val="auto"/>
        <w:rPr>
          <w:rFonts w:hint="eastAsia" w:ascii="Times New Roman" w:hAnsi="Times New Roman" w:eastAsia="仿宋_GB2312" w:cs="Times New Roman"/>
          <w:b/>
          <w:bCs/>
          <w:color w:val="auto"/>
          <w:kern w:val="2"/>
          <w:sz w:val="32"/>
          <w:szCs w:val="32"/>
          <w:lang w:val="en-US" w:eastAsia="zh-CN" w:bidi="ar-SA"/>
        </w:rPr>
      </w:pPr>
    </w:p>
    <w:p w14:paraId="18B313C7">
      <w:pPr>
        <w:pStyle w:val="13"/>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leftChars="0" w:firstLine="643" w:firstLineChars="200"/>
        <w:textAlignment w:val="auto"/>
        <w:rPr>
          <w:rFonts w:hint="eastAsia" w:ascii="Times New Roman" w:hAnsi="Times New Roman" w:eastAsia="仿宋_GB2312" w:cs="Times New Roman"/>
          <w:b/>
          <w:bCs/>
          <w:color w:val="auto"/>
          <w:kern w:val="2"/>
          <w:sz w:val="32"/>
          <w:szCs w:val="32"/>
          <w:lang w:val="en-US" w:eastAsia="zh-CN" w:bidi="ar-SA"/>
        </w:rPr>
      </w:pPr>
      <w:r>
        <w:rPr>
          <w:rFonts w:hint="eastAsia" w:ascii="Times New Roman" w:hAnsi="Times New Roman" w:eastAsia="仿宋_GB2312" w:cs="Times New Roman"/>
          <w:b/>
          <w:bCs/>
          <w:color w:val="auto"/>
          <w:kern w:val="2"/>
          <w:sz w:val="32"/>
          <w:szCs w:val="32"/>
          <w:lang w:val="en-US" w:eastAsia="zh-CN" w:bidi="ar-SA"/>
        </w:rPr>
        <w:t>我方郑重承诺：</w:t>
      </w:r>
    </w:p>
    <w:p w14:paraId="5ADCC8D6">
      <w:pPr>
        <w:pStyle w:val="13"/>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leftChars="0" w:firstLine="643" w:firstLineChars="200"/>
        <w:textAlignment w:val="auto"/>
        <w:rPr>
          <w:rFonts w:hint="eastAsia" w:ascii="Times New Roman" w:hAnsi="Times New Roman" w:eastAsia="仿宋_GB2312" w:cs="Times New Roman"/>
          <w:b/>
          <w:bCs/>
          <w:color w:val="auto"/>
          <w:kern w:val="2"/>
          <w:sz w:val="32"/>
          <w:szCs w:val="32"/>
          <w:lang w:val="en-US" w:eastAsia="zh-CN" w:bidi="ar-SA"/>
        </w:rPr>
      </w:pPr>
      <w:r>
        <w:rPr>
          <w:rFonts w:hint="eastAsia" w:ascii="Times New Roman" w:hAnsi="Times New Roman" w:eastAsia="仿宋_GB2312" w:cs="Times New Roman"/>
          <w:b/>
          <w:bCs/>
          <w:color w:val="auto"/>
          <w:kern w:val="2"/>
          <w:sz w:val="32"/>
          <w:szCs w:val="32"/>
          <w:lang w:val="en-US" w:eastAsia="zh-CN" w:bidi="ar-SA"/>
        </w:rPr>
        <w:t>1.近三年内无重大质量事故、安全事故、违法经营记录；</w:t>
      </w:r>
    </w:p>
    <w:p w14:paraId="3B3176FC">
      <w:pPr>
        <w:pStyle w:val="13"/>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leftChars="0" w:firstLine="643" w:firstLineChars="200"/>
        <w:textAlignment w:val="auto"/>
        <w:rPr>
          <w:rFonts w:hint="eastAsia" w:ascii="Times New Roman" w:hAnsi="Times New Roman" w:eastAsia="仿宋_GB2312" w:cs="Times New Roman"/>
          <w:b/>
          <w:bCs/>
          <w:color w:val="auto"/>
          <w:kern w:val="2"/>
          <w:sz w:val="32"/>
          <w:szCs w:val="32"/>
          <w:lang w:val="en-US" w:eastAsia="zh-CN" w:bidi="ar-SA"/>
        </w:rPr>
      </w:pPr>
      <w:r>
        <w:rPr>
          <w:rFonts w:hint="eastAsia" w:ascii="Times New Roman" w:hAnsi="Times New Roman" w:eastAsia="仿宋_GB2312" w:cs="Times New Roman"/>
          <w:b/>
          <w:bCs/>
          <w:color w:val="auto"/>
          <w:kern w:val="2"/>
          <w:sz w:val="32"/>
          <w:szCs w:val="32"/>
          <w:lang w:val="en-US" w:eastAsia="zh-CN" w:bidi="ar-SA"/>
        </w:rPr>
        <w:t>2.无行业主管部门行政处罚、经营异常、严重失信记录；</w:t>
      </w:r>
    </w:p>
    <w:p w14:paraId="05252932">
      <w:pPr>
        <w:pStyle w:val="13"/>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leftChars="0" w:firstLine="643" w:firstLineChars="200"/>
        <w:textAlignment w:val="auto"/>
        <w:rPr>
          <w:rFonts w:hint="eastAsia" w:ascii="Times New Roman" w:hAnsi="Times New Roman" w:eastAsia="仿宋_GB2312" w:cs="Times New Roman"/>
          <w:b/>
          <w:bCs/>
          <w:color w:val="auto"/>
          <w:kern w:val="2"/>
          <w:sz w:val="32"/>
          <w:szCs w:val="32"/>
          <w:lang w:val="en-US" w:eastAsia="zh-CN" w:bidi="ar-SA"/>
        </w:rPr>
      </w:pPr>
      <w:r>
        <w:rPr>
          <w:rFonts w:hint="eastAsia" w:ascii="Times New Roman" w:hAnsi="Times New Roman" w:eastAsia="仿宋_GB2312" w:cs="Times New Roman"/>
          <w:b/>
          <w:bCs/>
          <w:color w:val="auto"/>
          <w:kern w:val="2"/>
          <w:sz w:val="32"/>
          <w:szCs w:val="32"/>
          <w:lang w:val="en-US" w:eastAsia="zh-CN" w:bidi="ar-SA"/>
        </w:rPr>
        <w:t>3.不存在被采购人列入黑名单、限制合作情形；</w:t>
      </w:r>
    </w:p>
    <w:p w14:paraId="7B1FF0D9">
      <w:pPr>
        <w:pStyle w:val="13"/>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leftChars="0" w:firstLine="643" w:firstLineChars="200"/>
        <w:textAlignment w:val="auto"/>
        <w:rPr>
          <w:rFonts w:hint="eastAsia" w:ascii="Times New Roman" w:hAnsi="Times New Roman" w:eastAsia="仿宋_GB2312" w:cs="Times New Roman"/>
          <w:b/>
          <w:bCs/>
          <w:color w:val="auto"/>
          <w:kern w:val="2"/>
          <w:sz w:val="32"/>
          <w:szCs w:val="32"/>
          <w:lang w:val="en-US" w:eastAsia="zh-CN" w:bidi="ar-SA"/>
        </w:rPr>
      </w:pPr>
      <w:r>
        <w:rPr>
          <w:rFonts w:hint="eastAsia" w:ascii="Times New Roman" w:hAnsi="Times New Roman" w:eastAsia="仿宋_GB2312" w:cs="Times New Roman"/>
          <w:b/>
          <w:bCs/>
          <w:color w:val="auto"/>
          <w:kern w:val="2"/>
          <w:sz w:val="32"/>
          <w:szCs w:val="32"/>
          <w:lang w:val="en-US" w:eastAsia="zh-CN" w:bidi="ar-SA"/>
        </w:rPr>
        <w:t>4.本次响应行为完全自愿、合规、诚信、独立，未与其他单位串通报价、围标串标。</w:t>
      </w:r>
    </w:p>
    <w:p w14:paraId="45FAC91A">
      <w:pPr>
        <w:pStyle w:val="13"/>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leftChars="0" w:firstLine="643" w:firstLineChars="200"/>
        <w:textAlignment w:val="auto"/>
        <w:rPr>
          <w:rFonts w:hint="eastAsia" w:ascii="Times New Roman" w:hAnsi="Times New Roman" w:eastAsia="仿宋_GB2312" w:cs="Times New Roman"/>
          <w:b/>
          <w:bCs/>
          <w:color w:val="auto"/>
          <w:kern w:val="2"/>
          <w:sz w:val="32"/>
          <w:szCs w:val="32"/>
          <w:lang w:val="en-US" w:eastAsia="zh-CN" w:bidi="ar-SA"/>
        </w:rPr>
      </w:pPr>
      <w:r>
        <w:rPr>
          <w:rFonts w:hint="eastAsia" w:ascii="Times New Roman" w:hAnsi="Times New Roman" w:eastAsia="仿宋_GB2312" w:cs="Times New Roman"/>
          <w:b/>
          <w:bCs/>
          <w:color w:val="auto"/>
          <w:kern w:val="2"/>
          <w:sz w:val="32"/>
          <w:szCs w:val="32"/>
          <w:lang w:val="en-US" w:eastAsia="zh-CN" w:bidi="ar-SA"/>
        </w:rPr>
        <w:t>5.如有违反，我方自愿取消参选/成交资格，并承担相应纪律及法律责任。</w:t>
      </w:r>
    </w:p>
    <w:p w14:paraId="5A3E7864">
      <w:pPr>
        <w:pStyle w:val="13"/>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leftChars="0" w:firstLine="643" w:firstLineChars="200"/>
        <w:textAlignment w:val="auto"/>
        <w:rPr>
          <w:rFonts w:hint="eastAsia" w:ascii="Times New Roman" w:hAnsi="Times New Roman" w:eastAsia="仿宋_GB2312" w:cs="Times New Roman"/>
          <w:b/>
          <w:bCs/>
          <w:color w:val="auto"/>
          <w:kern w:val="2"/>
          <w:sz w:val="32"/>
          <w:szCs w:val="32"/>
          <w:lang w:val="en-US" w:eastAsia="zh-CN" w:bidi="ar-SA"/>
        </w:rPr>
      </w:pPr>
    </w:p>
    <w:p w14:paraId="104B64A3">
      <w:pPr>
        <w:pStyle w:val="13"/>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leftChars="0" w:firstLine="643" w:firstLineChars="200"/>
        <w:textAlignment w:val="auto"/>
        <w:rPr>
          <w:rFonts w:hint="eastAsia" w:ascii="Times New Roman" w:hAnsi="Times New Roman" w:eastAsia="仿宋_GB2312" w:cs="Times New Roman"/>
          <w:b/>
          <w:bCs/>
          <w:color w:val="auto"/>
          <w:kern w:val="2"/>
          <w:sz w:val="32"/>
          <w:szCs w:val="32"/>
          <w:lang w:val="en-US" w:eastAsia="zh-CN" w:bidi="ar-SA"/>
        </w:rPr>
      </w:pPr>
    </w:p>
    <w:p w14:paraId="2D32296D">
      <w:pPr>
        <w:pStyle w:val="13"/>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leftChars="0" w:firstLine="643" w:firstLineChars="200"/>
        <w:textAlignment w:val="auto"/>
        <w:rPr>
          <w:rFonts w:hint="eastAsia" w:ascii="Times New Roman" w:hAnsi="Times New Roman" w:eastAsia="仿宋_GB2312" w:cs="Times New Roman"/>
          <w:b/>
          <w:bCs/>
          <w:color w:val="auto"/>
          <w:kern w:val="2"/>
          <w:sz w:val="32"/>
          <w:szCs w:val="32"/>
          <w:lang w:val="en-US" w:eastAsia="zh-CN" w:bidi="ar-SA"/>
        </w:rPr>
      </w:pPr>
      <w:r>
        <w:rPr>
          <w:rFonts w:hint="eastAsia" w:ascii="Times New Roman" w:hAnsi="Times New Roman" w:eastAsia="仿宋_GB2312" w:cs="Times New Roman"/>
          <w:b/>
          <w:bCs/>
          <w:color w:val="auto"/>
          <w:kern w:val="2"/>
          <w:sz w:val="32"/>
          <w:szCs w:val="32"/>
          <w:lang w:val="en-US" w:eastAsia="zh-CN" w:bidi="ar-SA"/>
        </w:rPr>
        <w:t>响应单位（盖章）：_______________</w:t>
      </w:r>
    </w:p>
    <w:p w14:paraId="1EF5EDB2">
      <w:pPr>
        <w:pStyle w:val="13"/>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leftChars="0" w:firstLine="643" w:firstLineChars="200"/>
        <w:textAlignment w:val="auto"/>
        <w:rPr>
          <w:rFonts w:hint="eastAsia" w:ascii="Times New Roman" w:hAnsi="Times New Roman" w:eastAsia="仿宋_GB2312" w:cs="Times New Roman"/>
          <w:b/>
          <w:bCs/>
          <w:color w:val="auto"/>
          <w:kern w:val="2"/>
          <w:sz w:val="32"/>
          <w:szCs w:val="32"/>
          <w:lang w:val="en-US" w:eastAsia="zh-CN" w:bidi="ar-SA"/>
        </w:rPr>
        <w:sectPr>
          <w:pgSz w:w="11906" w:h="16838"/>
          <w:pgMar w:top="1134" w:right="1134" w:bottom="1134" w:left="1134" w:header="851" w:footer="992" w:gutter="0"/>
          <w:pgNumType w:fmt="decimal"/>
          <w:cols w:space="720" w:num="1"/>
          <w:rtlGutter w:val="0"/>
          <w:docGrid w:type="lines" w:linePitch="321" w:charSpace="0"/>
        </w:sectPr>
      </w:pPr>
      <w:r>
        <w:rPr>
          <w:rFonts w:hint="eastAsia" w:ascii="Times New Roman" w:hAnsi="Times New Roman" w:eastAsia="仿宋_GB2312" w:cs="Times New Roman"/>
          <w:b/>
          <w:bCs/>
          <w:color w:val="auto"/>
          <w:kern w:val="2"/>
          <w:sz w:val="32"/>
          <w:szCs w:val="32"/>
          <w:lang w:val="en-US" w:eastAsia="zh-CN" w:bidi="ar-SA"/>
        </w:rPr>
        <w:t>日期：2026年____月____日</w:t>
      </w:r>
    </w:p>
    <w:p w14:paraId="012932AE">
      <w:pPr>
        <w:keepNext w:val="0"/>
        <w:keepLines w:val="0"/>
        <w:pageBreakBefore w:val="0"/>
        <w:widowControl w:val="0"/>
        <w:numPr>
          <w:ilvl w:val="0"/>
          <w:numId w:val="4"/>
        </w:numPr>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bCs/>
          <w:color w:val="auto"/>
          <w:sz w:val="44"/>
          <w:szCs w:val="44"/>
          <w:lang w:val="en-US" w:eastAsia="zh-CN"/>
        </w:rPr>
      </w:pPr>
      <w:r>
        <w:rPr>
          <w:rFonts w:hint="eastAsia" w:ascii="方正小标宋简体" w:hAnsi="方正小标宋简体" w:eastAsia="方正小标宋简体" w:cs="方正小标宋简体"/>
          <w:b/>
          <w:bCs/>
          <w:color w:val="auto"/>
          <w:sz w:val="44"/>
          <w:szCs w:val="44"/>
          <w:lang w:val="en-US" w:eastAsia="zh-CN"/>
        </w:rPr>
        <w:t>人员配置</w:t>
      </w:r>
    </w:p>
    <w:p w14:paraId="03716D25">
      <w:pPr>
        <w:pStyle w:val="9"/>
        <w:rPr>
          <w:rFonts w:hint="default"/>
          <w:color w:val="auto"/>
          <w:lang w:val="en-US" w:eastAsia="zh-CN"/>
        </w:rPr>
      </w:pPr>
    </w:p>
    <w:p w14:paraId="79B503A2">
      <w:pPr>
        <w:pStyle w:val="8"/>
        <w:rPr>
          <w:rFonts w:hint="default"/>
          <w:color w:val="auto"/>
          <w:lang w:val="en-US" w:eastAsia="zh-CN"/>
        </w:rPr>
      </w:pPr>
      <w:r>
        <w:rPr>
          <w:rFonts w:hint="eastAsia" w:ascii="方正小标宋简体" w:hAnsi="方正小标宋简体" w:eastAsia="方正小标宋简体" w:cs="方正小标宋简体"/>
          <w:b/>
          <w:bCs/>
          <w:color w:val="auto"/>
          <w:sz w:val="44"/>
          <w:szCs w:val="44"/>
          <w:lang w:val="en-US" w:eastAsia="zh-CN"/>
        </w:rPr>
        <w:t>格式自拟</w:t>
      </w:r>
    </w:p>
    <w:p w14:paraId="585CEB50">
      <w:pPr>
        <w:pStyle w:val="9"/>
        <w:rPr>
          <w:rFonts w:hint="default"/>
          <w:color w:val="auto"/>
          <w:lang w:val="en-US" w:eastAsia="zh-CN"/>
        </w:rPr>
        <w:sectPr>
          <w:pgSz w:w="11906" w:h="16838"/>
          <w:pgMar w:top="1134" w:right="1134" w:bottom="1134" w:left="1134" w:header="851" w:footer="992" w:gutter="0"/>
          <w:pgNumType w:fmt="decimal"/>
          <w:cols w:space="720" w:num="1"/>
          <w:rtlGutter w:val="0"/>
          <w:docGrid w:type="lines" w:linePitch="321" w:charSpace="0"/>
        </w:sectPr>
      </w:pPr>
    </w:p>
    <w:p w14:paraId="65136F5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bCs/>
          <w:color w:val="auto"/>
          <w:sz w:val="44"/>
          <w:szCs w:val="44"/>
          <w:lang w:val="en-US" w:eastAsia="zh-CN"/>
        </w:rPr>
      </w:pPr>
      <w:r>
        <w:rPr>
          <w:rFonts w:hint="eastAsia" w:ascii="方正小标宋简体" w:hAnsi="方正小标宋简体" w:eastAsia="方正小标宋简体" w:cs="方正小标宋简体"/>
          <w:b/>
          <w:bCs/>
          <w:color w:val="auto"/>
          <w:sz w:val="44"/>
          <w:szCs w:val="44"/>
          <w:lang w:val="en-US" w:eastAsia="zh-CN"/>
        </w:rPr>
        <w:t>九、业绩</w:t>
      </w:r>
    </w:p>
    <w:p w14:paraId="2B77930B">
      <w:pPr>
        <w:pStyle w:val="8"/>
        <w:rPr>
          <w:rFonts w:hint="default"/>
          <w:color w:val="auto"/>
          <w:lang w:val="en-US" w:eastAsia="zh-CN"/>
        </w:rPr>
      </w:pPr>
      <w:r>
        <w:rPr>
          <w:rFonts w:hint="eastAsia" w:ascii="方正小标宋简体" w:hAnsi="方正小标宋简体" w:eastAsia="方正小标宋简体" w:cs="方正小标宋简体"/>
          <w:b/>
          <w:bCs/>
          <w:color w:val="auto"/>
          <w:sz w:val="44"/>
          <w:szCs w:val="44"/>
          <w:lang w:val="en-US" w:eastAsia="zh-CN"/>
        </w:rPr>
        <w:t>格式自拟</w:t>
      </w:r>
    </w:p>
    <w:p w14:paraId="1EFCF29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bCs/>
          <w:color w:val="auto"/>
          <w:sz w:val="44"/>
          <w:szCs w:val="44"/>
          <w:lang w:val="en-US" w:eastAsia="zh-CN"/>
        </w:rPr>
      </w:pPr>
      <w:r>
        <w:rPr>
          <w:rFonts w:hint="default"/>
          <w:color w:val="auto"/>
          <w:lang w:val="en-US" w:eastAsia="zh-CN"/>
        </w:rPr>
        <w:br w:type="page"/>
      </w:r>
      <w:r>
        <w:rPr>
          <w:rFonts w:hint="eastAsia" w:ascii="方正小标宋简体" w:hAnsi="方正小标宋简体" w:eastAsia="方正小标宋简体" w:cs="方正小标宋简体"/>
          <w:b/>
          <w:bCs/>
          <w:color w:val="auto"/>
          <w:sz w:val="44"/>
          <w:szCs w:val="44"/>
          <w:lang w:val="en-US" w:eastAsia="zh-CN"/>
        </w:rPr>
        <w:t>十、技术指标证明材料</w:t>
      </w:r>
    </w:p>
    <w:p w14:paraId="5F469BB9">
      <w:pPr>
        <w:pStyle w:val="8"/>
        <w:rPr>
          <w:rFonts w:hint="default"/>
          <w:color w:val="auto"/>
          <w:lang w:val="en-US" w:eastAsia="zh-CN"/>
        </w:rPr>
      </w:pPr>
      <w:r>
        <w:rPr>
          <w:rFonts w:hint="eastAsia" w:ascii="方正小标宋简体" w:hAnsi="方正小标宋简体" w:eastAsia="方正小标宋简体" w:cs="方正小标宋简体"/>
          <w:b/>
          <w:bCs/>
          <w:color w:val="auto"/>
          <w:sz w:val="44"/>
          <w:szCs w:val="44"/>
          <w:lang w:val="en-US" w:eastAsia="zh-CN"/>
        </w:rPr>
        <w:t>格式自拟</w:t>
      </w:r>
    </w:p>
    <w:p w14:paraId="097059C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cs="宋体"/>
          <w:color w:val="auto"/>
        </w:rPr>
      </w:pPr>
      <w:r>
        <w:rPr>
          <w:rFonts w:hint="eastAsia" w:ascii="方正小标宋简体" w:hAnsi="方正小标宋简体" w:eastAsia="方正小标宋简体" w:cs="方正小标宋简体"/>
          <w:b/>
          <w:bCs/>
          <w:color w:val="auto"/>
          <w:sz w:val="44"/>
          <w:szCs w:val="44"/>
          <w:lang w:val="en-US" w:eastAsia="zh-CN"/>
        </w:rPr>
        <w:br w:type="page"/>
      </w:r>
    </w:p>
    <w:p w14:paraId="2EFF31F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 w:cs="Times New Roman"/>
          <w:b/>
          <w:bCs/>
          <w:color w:val="auto"/>
          <w:sz w:val="32"/>
          <w:szCs w:val="32"/>
          <w:lang w:val="en-US" w:eastAsia="zh-CN"/>
        </w:rPr>
      </w:pPr>
      <w:r>
        <w:rPr>
          <w:rFonts w:hint="eastAsia" w:ascii="方正小标宋简体" w:hAnsi="方正小标宋简体" w:eastAsia="方正小标宋简体" w:cs="方正小标宋简体"/>
          <w:b/>
          <w:bCs/>
          <w:color w:val="auto"/>
          <w:sz w:val="44"/>
          <w:szCs w:val="44"/>
          <w:lang w:val="en-US" w:eastAsia="zh-CN"/>
        </w:rPr>
        <w:t>十一、项目实施方案及售后服务方案</w:t>
      </w:r>
    </w:p>
    <w:p w14:paraId="0B4A099E">
      <w:pPr>
        <w:pStyle w:val="9"/>
        <w:widowControl w:val="0"/>
        <w:numPr>
          <w:ilvl w:val="0"/>
          <w:numId w:val="0"/>
        </w:numPr>
        <w:spacing w:beforeLines="50" w:line="360" w:lineRule="auto"/>
        <w:jc w:val="center"/>
        <w:rPr>
          <w:rFonts w:hint="default"/>
          <w:color w:val="auto"/>
          <w:lang w:val="en-US" w:eastAsia="zh-CN"/>
        </w:rPr>
      </w:pPr>
      <w:r>
        <w:rPr>
          <w:rFonts w:hint="default"/>
          <w:color w:val="auto"/>
          <w:lang w:val="en-US" w:eastAsia="zh-CN"/>
        </w:rPr>
        <w:br w:type="page"/>
      </w:r>
      <w:r>
        <w:rPr>
          <w:rFonts w:hint="eastAsia" w:ascii="方正小标宋简体" w:hAnsi="方正小标宋简体" w:eastAsia="方正小标宋简体" w:cs="方正小标宋简体"/>
          <w:b/>
          <w:bCs/>
          <w:color w:val="auto"/>
          <w:sz w:val="44"/>
          <w:szCs w:val="44"/>
          <w:lang w:val="en-US" w:eastAsia="zh-CN"/>
        </w:rPr>
        <w:t>十二、其他</w:t>
      </w:r>
    </w:p>
    <w:p w14:paraId="258BB5A9">
      <w:bookmarkStart w:id="5" w:name="_GoBack"/>
      <w:bookmarkEnd w:id="5"/>
    </w:p>
    <w:sectPr>
      <w:pgSz w:w="11906" w:h="16838"/>
      <w:pgMar w:top="1134" w:right="1134" w:bottom="1134" w:left="1134" w:header="851" w:footer="992" w:gutter="0"/>
      <w:pgNumType w:fmt="decimal"/>
      <w:cols w:space="720" w:num="1"/>
      <w:rtlGutter w:val="0"/>
      <w:docGrid w:type="lines" w:linePitch="32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方正小标宋简体">
    <w:altName w:val="黑体"/>
    <w:panose1 w:val="02000000000000000000"/>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439EEF50">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Segoe UI">
    <w:panose1 w:val="020B0502040204020203"/>
    <w:charset w:val="00"/>
    <w:family w:val="auto"/>
    <w:pitch w:val="default"/>
    <w:sig w:usb0="E4002EFF" w:usb1="C000E47F" w:usb2="00000009" w:usb3="00000000" w:csb0="200001FF" w:csb1="00000000"/>
  </w:font>
  <w:font w:name="var(--dsw-font-markdown-table-h">
    <w:altName w:val="Noto Sans SC"/>
    <w:panose1 w:val="00000000000000000000"/>
    <w:charset w:val="00"/>
    <w:family w:val="auto"/>
    <w:pitch w:val="default"/>
    <w:sig w:usb0="00000000" w:usb1="00000000" w:usb2="00000000" w:usb3="00000000" w:csb0="00040001" w:csb1="00000000"/>
  </w:font>
  <w:font w:name="var(--dsw-font-markdown-table)">
    <w:altName w:val="Noto Sans SC"/>
    <w:panose1 w:val="00000000000000000000"/>
    <w:charset w:val="00"/>
    <w:family w:val="auto"/>
    <w:pitch w:val="default"/>
    <w:sig w:usb0="00000000" w:usb1="00000000" w:usb2="00000000" w:usb3="00000000" w:csb0="00040001" w:csb1="00000000"/>
  </w:font>
  <w:font w:name="新宋体">
    <w:panose1 w:val="02010609030101010101"/>
    <w:charset w:val="86"/>
    <w:family w:val="auto"/>
    <w:pitch w:val="default"/>
    <w:sig w:usb0="00000203" w:usb1="288F0000" w:usb2="00000006" w:usb3="00000000" w:csb0="00040001" w:csb1="00000000"/>
  </w:font>
  <w:font w:name="Noto Sans SC">
    <w:panose1 w:val="020B0200000000000000"/>
    <w:charset w:val="86"/>
    <w:family w:val="auto"/>
    <w:pitch w:val="default"/>
    <w:sig w:usb0="20000083" w:usb1="2ADF3C10" w:usb2="00000016" w:usb3="00000000" w:csb0="600601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F24AA2">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2D47358D">
                          <w:pPr>
                            <w:pStyle w:val="6"/>
                            <w:rPr>
                              <w:rFonts w:hint="eastAsia" w:ascii="仿宋" w:hAnsi="仿宋" w:eastAsia="仿宋" w:cs="仿宋"/>
                              <w:sz w:val="21"/>
                              <w:szCs w:val="21"/>
                            </w:rPr>
                          </w:pPr>
                          <w:r>
                            <w:rPr>
                              <w:rFonts w:hint="eastAsia" w:ascii="仿宋" w:hAnsi="仿宋" w:eastAsia="仿宋" w:cs="仿宋"/>
                              <w:sz w:val="21"/>
                              <w:szCs w:val="21"/>
                            </w:rPr>
                            <w:t xml:space="preserve">第 </w:t>
                          </w:r>
                          <w:r>
                            <w:rPr>
                              <w:rFonts w:hint="eastAsia" w:ascii="仿宋" w:hAnsi="仿宋" w:eastAsia="仿宋" w:cs="仿宋"/>
                              <w:sz w:val="21"/>
                              <w:szCs w:val="21"/>
                            </w:rPr>
                            <w:fldChar w:fldCharType="begin"/>
                          </w:r>
                          <w:r>
                            <w:rPr>
                              <w:rFonts w:hint="eastAsia" w:ascii="仿宋" w:hAnsi="仿宋" w:eastAsia="仿宋" w:cs="仿宋"/>
                              <w:sz w:val="21"/>
                              <w:szCs w:val="21"/>
                            </w:rPr>
                            <w:instrText xml:space="preserve"> PAGE  \* MERGEFORMAT </w:instrText>
                          </w:r>
                          <w:r>
                            <w:rPr>
                              <w:rFonts w:hint="eastAsia" w:ascii="仿宋" w:hAnsi="仿宋" w:eastAsia="仿宋" w:cs="仿宋"/>
                              <w:sz w:val="21"/>
                              <w:szCs w:val="21"/>
                            </w:rPr>
                            <w:fldChar w:fldCharType="separate"/>
                          </w:r>
                          <w:r>
                            <w:rPr>
                              <w:rFonts w:hint="eastAsia" w:ascii="仿宋" w:hAnsi="仿宋" w:eastAsia="仿宋" w:cs="仿宋"/>
                              <w:sz w:val="21"/>
                              <w:szCs w:val="21"/>
                            </w:rPr>
                            <w:t>1</w:t>
                          </w:r>
                          <w:r>
                            <w:rPr>
                              <w:rFonts w:hint="eastAsia" w:ascii="仿宋" w:hAnsi="仿宋" w:eastAsia="仿宋" w:cs="仿宋"/>
                              <w:sz w:val="21"/>
                              <w:szCs w:val="21"/>
                            </w:rPr>
                            <w:fldChar w:fldCharType="end"/>
                          </w:r>
                          <w:r>
                            <w:rPr>
                              <w:rFonts w:hint="eastAsia" w:ascii="仿宋" w:hAnsi="仿宋" w:eastAsia="仿宋" w:cs="仿宋"/>
                              <w:sz w:val="21"/>
                              <w:szCs w:val="21"/>
                            </w:rPr>
                            <w:t xml:space="preserve"> 页 共 </w:t>
                          </w:r>
                          <w:r>
                            <w:rPr>
                              <w:rFonts w:hint="eastAsia" w:ascii="仿宋" w:hAnsi="仿宋" w:eastAsia="仿宋" w:cs="仿宋"/>
                              <w:sz w:val="21"/>
                              <w:szCs w:val="21"/>
                            </w:rPr>
                            <w:fldChar w:fldCharType="begin"/>
                          </w:r>
                          <w:r>
                            <w:rPr>
                              <w:rFonts w:hint="eastAsia" w:ascii="仿宋" w:hAnsi="仿宋" w:eastAsia="仿宋" w:cs="仿宋"/>
                              <w:sz w:val="21"/>
                              <w:szCs w:val="21"/>
                            </w:rPr>
                            <w:instrText xml:space="preserve"> NUMPAGES  \* MERGEFORMAT </w:instrText>
                          </w:r>
                          <w:r>
                            <w:rPr>
                              <w:rFonts w:hint="eastAsia" w:ascii="仿宋" w:hAnsi="仿宋" w:eastAsia="仿宋" w:cs="仿宋"/>
                              <w:sz w:val="21"/>
                              <w:szCs w:val="21"/>
                            </w:rPr>
                            <w:fldChar w:fldCharType="separate"/>
                          </w:r>
                          <w:r>
                            <w:rPr>
                              <w:rFonts w:hint="eastAsia" w:ascii="仿宋" w:hAnsi="仿宋" w:eastAsia="仿宋" w:cs="仿宋"/>
                              <w:sz w:val="21"/>
                              <w:szCs w:val="21"/>
                            </w:rPr>
                            <w:t>3</w:t>
                          </w:r>
                          <w:r>
                            <w:rPr>
                              <w:rFonts w:hint="eastAsia" w:ascii="仿宋" w:hAnsi="仿宋" w:eastAsia="仿宋" w:cs="仿宋"/>
                              <w:sz w:val="21"/>
                              <w:szCs w:val="21"/>
                            </w:rPr>
                            <w:fldChar w:fldCharType="end"/>
                          </w:r>
                          <w:r>
                            <w:rPr>
                              <w:rFonts w:hint="eastAsia" w:ascii="仿宋" w:hAnsi="仿宋" w:eastAsia="仿宋" w:cs="仿宋"/>
                              <w:sz w:val="21"/>
                              <w:szCs w:val="21"/>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path/>
              <v:fill on="f" focussize="0,0"/>
              <v:stroke on="f" weight="0.5pt"/>
              <v:imagedata o:title=""/>
              <o:lock v:ext="edit" aspectratio="f"/>
              <v:textbox inset="0mm,0mm,0mm,0mm" style="mso-fit-shape-to-text:t;">
                <w:txbxContent>
                  <w:p w14:paraId="2D47358D">
                    <w:pPr>
                      <w:pStyle w:val="6"/>
                      <w:rPr>
                        <w:rFonts w:hint="eastAsia" w:ascii="仿宋" w:hAnsi="仿宋" w:eastAsia="仿宋" w:cs="仿宋"/>
                        <w:sz w:val="21"/>
                        <w:szCs w:val="21"/>
                      </w:rPr>
                    </w:pPr>
                    <w:r>
                      <w:rPr>
                        <w:rFonts w:hint="eastAsia" w:ascii="仿宋" w:hAnsi="仿宋" w:eastAsia="仿宋" w:cs="仿宋"/>
                        <w:sz w:val="21"/>
                        <w:szCs w:val="21"/>
                      </w:rPr>
                      <w:t xml:space="preserve">第 </w:t>
                    </w:r>
                    <w:r>
                      <w:rPr>
                        <w:rFonts w:hint="eastAsia" w:ascii="仿宋" w:hAnsi="仿宋" w:eastAsia="仿宋" w:cs="仿宋"/>
                        <w:sz w:val="21"/>
                        <w:szCs w:val="21"/>
                      </w:rPr>
                      <w:fldChar w:fldCharType="begin"/>
                    </w:r>
                    <w:r>
                      <w:rPr>
                        <w:rFonts w:hint="eastAsia" w:ascii="仿宋" w:hAnsi="仿宋" w:eastAsia="仿宋" w:cs="仿宋"/>
                        <w:sz w:val="21"/>
                        <w:szCs w:val="21"/>
                      </w:rPr>
                      <w:instrText xml:space="preserve"> PAGE  \* MERGEFORMAT </w:instrText>
                    </w:r>
                    <w:r>
                      <w:rPr>
                        <w:rFonts w:hint="eastAsia" w:ascii="仿宋" w:hAnsi="仿宋" w:eastAsia="仿宋" w:cs="仿宋"/>
                        <w:sz w:val="21"/>
                        <w:szCs w:val="21"/>
                      </w:rPr>
                      <w:fldChar w:fldCharType="separate"/>
                    </w:r>
                    <w:r>
                      <w:rPr>
                        <w:rFonts w:hint="eastAsia" w:ascii="仿宋" w:hAnsi="仿宋" w:eastAsia="仿宋" w:cs="仿宋"/>
                        <w:sz w:val="21"/>
                        <w:szCs w:val="21"/>
                      </w:rPr>
                      <w:t>1</w:t>
                    </w:r>
                    <w:r>
                      <w:rPr>
                        <w:rFonts w:hint="eastAsia" w:ascii="仿宋" w:hAnsi="仿宋" w:eastAsia="仿宋" w:cs="仿宋"/>
                        <w:sz w:val="21"/>
                        <w:szCs w:val="21"/>
                      </w:rPr>
                      <w:fldChar w:fldCharType="end"/>
                    </w:r>
                    <w:r>
                      <w:rPr>
                        <w:rFonts w:hint="eastAsia" w:ascii="仿宋" w:hAnsi="仿宋" w:eastAsia="仿宋" w:cs="仿宋"/>
                        <w:sz w:val="21"/>
                        <w:szCs w:val="21"/>
                      </w:rPr>
                      <w:t xml:space="preserve"> 页 共 </w:t>
                    </w:r>
                    <w:r>
                      <w:rPr>
                        <w:rFonts w:hint="eastAsia" w:ascii="仿宋" w:hAnsi="仿宋" w:eastAsia="仿宋" w:cs="仿宋"/>
                        <w:sz w:val="21"/>
                        <w:szCs w:val="21"/>
                      </w:rPr>
                      <w:fldChar w:fldCharType="begin"/>
                    </w:r>
                    <w:r>
                      <w:rPr>
                        <w:rFonts w:hint="eastAsia" w:ascii="仿宋" w:hAnsi="仿宋" w:eastAsia="仿宋" w:cs="仿宋"/>
                        <w:sz w:val="21"/>
                        <w:szCs w:val="21"/>
                      </w:rPr>
                      <w:instrText xml:space="preserve"> NUMPAGES  \* MERGEFORMAT </w:instrText>
                    </w:r>
                    <w:r>
                      <w:rPr>
                        <w:rFonts w:hint="eastAsia" w:ascii="仿宋" w:hAnsi="仿宋" w:eastAsia="仿宋" w:cs="仿宋"/>
                        <w:sz w:val="21"/>
                        <w:szCs w:val="21"/>
                      </w:rPr>
                      <w:fldChar w:fldCharType="separate"/>
                    </w:r>
                    <w:r>
                      <w:rPr>
                        <w:rFonts w:hint="eastAsia" w:ascii="仿宋" w:hAnsi="仿宋" w:eastAsia="仿宋" w:cs="仿宋"/>
                        <w:sz w:val="21"/>
                        <w:szCs w:val="21"/>
                      </w:rPr>
                      <w:t>3</w:t>
                    </w:r>
                    <w:r>
                      <w:rPr>
                        <w:rFonts w:hint="eastAsia" w:ascii="仿宋" w:hAnsi="仿宋" w:eastAsia="仿宋" w:cs="仿宋"/>
                        <w:sz w:val="21"/>
                        <w:szCs w:val="21"/>
                      </w:rPr>
                      <w:fldChar w:fldCharType="end"/>
                    </w:r>
                    <w:r>
                      <w:rPr>
                        <w:rFonts w:hint="eastAsia" w:ascii="仿宋" w:hAnsi="仿宋" w:eastAsia="仿宋" w:cs="仿宋"/>
                        <w:sz w:val="21"/>
                        <w:szCs w:val="21"/>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C161D39"/>
    <w:multiLevelType w:val="singleLevel"/>
    <w:tmpl w:val="AC161D39"/>
    <w:lvl w:ilvl="0" w:tentative="0">
      <w:start w:val="1"/>
      <w:numFmt w:val="decimal"/>
      <w:suff w:val="nothing"/>
      <w:lvlText w:val="%1．"/>
      <w:lvlJc w:val="left"/>
      <w:pPr>
        <w:ind w:left="0" w:firstLine="400"/>
      </w:pPr>
      <w:rPr>
        <w:rFonts w:hint="default"/>
      </w:rPr>
    </w:lvl>
  </w:abstractNum>
  <w:abstractNum w:abstractNumId="1">
    <w:nsid w:val="FC39C28C"/>
    <w:multiLevelType w:val="singleLevel"/>
    <w:tmpl w:val="FC39C28C"/>
    <w:lvl w:ilvl="0" w:tentative="0">
      <w:start w:val="1"/>
      <w:numFmt w:val="decimal"/>
      <w:suff w:val="nothing"/>
      <w:lvlText w:val="（%1）"/>
      <w:lvlJc w:val="left"/>
    </w:lvl>
  </w:abstractNum>
  <w:abstractNum w:abstractNumId="2">
    <w:nsid w:val="0C0BAFCB"/>
    <w:multiLevelType w:val="singleLevel"/>
    <w:tmpl w:val="0C0BAFCB"/>
    <w:lvl w:ilvl="0" w:tentative="0">
      <w:start w:val="1"/>
      <w:numFmt w:val="decimal"/>
      <w:suff w:val="nothing"/>
      <w:lvlText w:val="（%1）"/>
      <w:lvlJc w:val="left"/>
    </w:lvl>
  </w:abstractNum>
  <w:abstractNum w:abstractNumId="3">
    <w:nsid w:val="7D8A3D5F"/>
    <w:multiLevelType w:val="singleLevel"/>
    <w:tmpl w:val="7D8A3D5F"/>
    <w:lvl w:ilvl="0" w:tentative="0">
      <w:start w:val="8"/>
      <w:numFmt w:val="chineseCounting"/>
      <w:suff w:val="nothing"/>
      <w:lvlText w:val="%1、"/>
      <w:lvlJc w:val="left"/>
      <w:rPr>
        <w:rFonts w:hint="eastAsia"/>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AD247B8"/>
    <w:rsid w:val="368369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99"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next w:val="1"/>
    <w:qFormat/>
    <w:uiPriority w:val="0"/>
    <w:pPr>
      <w:spacing w:before="380" w:after="140" w:line="288" w:lineRule="auto"/>
      <w:ind w:left="0"/>
      <w:jc w:val="left"/>
      <w:outlineLvl w:val="0"/>
    </w:pPr>
    <w:rPr>
      <w:rFonts w:ascii="Arial" w:hAnsi="Arial" w:eastAsia="等线" w:cs="Arial"/>
      <w:b/>
      <w:bCs/>
      <w:sz w:val="36"/>
      <w:szCs w:val="36"/>
    </w:rPr>
  </w:style>
  <w:style w:type="paragraph" w:styleId="3">
    <w:name w:val="heading 2"/>
    <w:basedOn w:val="1"/>
    <w:next w:val="1"/>
    <w:unhideWhenUsed/>
    <w:qFormat/>
    <w:uiPriority w:val="0"/>
    <w:pPr>
      <w:spacing w:before="100" w:beforeAutospacing="1" w:after="100" w:afterAutospacing="1"/>
      <w:jc w:val="left"/>
      <w:outlineLvl w:val="1"/>
    </w:pPr>
    <w:rPr>
      <w:rFonts w:hint="eastAsia" w:ascii="宋体" w:hAnsi="宋体" w:eastAsia="宋体" w:cs="宋体"/>
      <w:b/>
      <w:bCs/>
      <w:kern w:val="0"/>
      <w:sz w:val="36"/>
      <w:szCs w:val="36"/>
      <w:lang w:val="en-US" w:eastAsia="zh-CN" w:bidi="ar"/>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4">
    <w:name w:val="Body Text"/>
    <w:basedOn w:val="1"/>
    <w:next w:val="5"/>
    <w:qFormat/>
    <w:uiPriority w:val="0"/>
    <w:pPr>
      <w:spacing w:after="120"/>
    </w:pPr>
  </w:style>
  <w:style w:type="paragraph" w:styleId="5">
    <w:name w:val="Subtitle"/>
    <w:basedOn w:val="1"/>
    <w:next w:val="1"/>
    <w:qFormat/>
    <w:uiPriority w:val="99"/>
    <w:pPr>
      <w:spacing w:before="240" w:after="60" w:line="312" w:lineRule="auto"/>
      <w:jc w:val="center"/>
      <w:outlineLvl w:val="1"/>
    </w:pPr>
    <w:rPr>
      <w:rFonts w:ascii="Cambria" w:hAnsi="Cambria" w:cs="Cambria"/>
      <w:b/>
      <w:bCs/>
      <w:kern w:val="28"/>
      <w:sz w:val="32"/>
      <w:szCs w:val="32"/>
    </w:rPr>
  </w:style>
  <w:style w:type="paragraph" w:styleId="6">
    <w:name w:val="footer"/>
    <w:basedOn w:val="1"/>
    <w:qFormat/>
    <w:uiPriority w:val="0"/>
    <w:pPr>
      <w:tabs>
        <w:tab w:val="center" w:pos="4153"/>
        <w:tab w:val="right" w:pos="8306"/>
      </w:tabs>
      <w:snapToGrid w:val="0"/>
      <w:jc w:val="left"/>
    </w:pPr>
    <w:rPr>
      <w:sz w:val="18"/>
    </w:rPr>
  </w:style>
  <w:style w:type="paragraph" w:styleId="7">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8">
    <w:name w:val="Body Text First Indent"/>
    <w:basedOn w:val="4"/>
    <w:next w:val="9"/>
    <w:unhideWhenUsed/>
    <w:qFormat/>
    <w:uiPriority w:val="99"/>
    <w:pPr>
      <w:ind w:firstLine="420" w:firstLineChars="100"/>
    </w:pPr>
    <w:rPr>
      <w:rFonts w:ascii="Calibri" w:hAnsi="Calibri"/>
    </w:rPr>
  </w:style>
  <w:style w:type="paragraph" w:customStyle="1" w:styleId="9">
    <w:name w:val="段落正文"/>
    <w:basedOn w:val="1"/>
    <w:qFormat/>
    <w:uiPriority w:val="0"/>
    <w:pPr>
      <w:spacing w:beforeLines="50" w:line="360" w:lineRule="auto"/>
      <w:ind w:firstLine="200" w:firstLineChars="200"/>
    </w:pPr>
    <w:rPr>
      <w:spacing w:val="2"/>
      <w:szCs w:val="20"/>
    </w:rPr>
  </w:style>
  <w:style w:type="table" w:styleId="11">
    <w:name w:val="Table Grid"/>
    <w:basedOn w:val="10"/>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3">
    <w:name w:val="_Style 13"/>
    <w:qFormat/>
    <w:uiPriority w:val="0"/>
    <w:pPr>
      <w:spacing w:before="120" w:after="120" w:line="288" w:lineRule="auto"/>
      <w:ind w:left="0"/>
      <w:jc w:val="left"/>
    </w:pPr>
    <w:rPr>
      <w:rFonts w:ascii="Arial" w:hAnsi="Arial" w:eastAsia="等线" w:cs="Arial"/>
      <w:sz w:val="22"/>
      <w:szCs w:val="22"/>
    </w:rPr>
  </w:style>
  <w:style w:type="paragraph" w:customStyle="1" w:styleId="14">
    <w:name w:val="null3"/>
    <w:qFormat/>
    <w:uiPriority w:val="0"/>
    <w:rPr>
      <w:rFonts w:hint="eastAsia" w:ascii="Calibri" w:hAnsi="Calibri" w:eastAsia="宋体" w:cs="Times New Roman"/>
      <w:lang w:val="en-US" w:eastAsia="zh-Han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33</Pages>
  <Words>1716</Words>
  <Characters>1882</Characters>
  <Lines>0</Lines>
  <Paragraphs>0</Paragraphs>
  <TotalTime>0</TotalTime>
  <ScaleCrop>false</ScaleCrop>
  <LinksUpToDate>false</LinksUpToDate>
  <CharactersWithSpaces>2303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2026-09-23T02:12:00Z</dcterms:created>
  <dc:creator>admin</dc:creator>
  <cp:lastModifiedBy>微信用户</cp:lastModifiedBy>
  <dcterms:modified xsi:type="dcterms:W3CDTF">2026-09-23T03:42:26Z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eyJoZGlkIjoiZThkZjQ0ZTUzMDQyZDg0OTY1ZmJkMThjNzYzY2VmMTkiLCJ1c2VySWQiOiIxMjMwNzQwMjA5In0=</vt:lpwstr>
  </property>
  <property fmtid="{D5CDD505-2E9C-101B-9397-08002B2CF9AE}" pid="4" name="ICV">
    <vt:lpwstr>4F8FF42BAA774A7383F6925FC52FF298_12</vt:lpwstr>
  </property>
</Properties>
</file>